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6" w:name="铅笔制造-ai-bom智能体开发报价清单"/>
    <w:p>
      <w:pPr>
        <w:pStyle w:val="Heading1"/>
      </w:pPr>
      <w:r>
        <w:rPr>
          <w:rFonts w:hint="eastAsia"/>
        </w:rPr>
        <w:t xml:space="preserve">铅笔制造</w:t>
      </w:r>
      <w:r>
        <w:t xml:space="preserve"> </w:t>
      </w:r>
      <w:r>
        <w:rPr>
          <w:rFonts w:hint="eastAsia"/>
        </w:rPr>
        <w:t xml:space="preserve">AI-BOM智能体开发报价清单</w:t>
      </w:r>
    </w:p>
    <w:bookmarkStart w:id="9" w:name="一计价与周期口径"/>
    <w:p>
      <w:pPr>
        <w:pStyle w:val="Heading2"/>
      </w:pPr>
      <w:r>
        <w:rPr>
          <w:rFonts w:hint="eastAsia"/>
        </w:rPr>
        <w:t xml:space="preserve">一、计价与周期口径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口径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计价单位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1人天=8小时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未税单价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1776元/人天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含税单价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1882元/人天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原功能基准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46人天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FDE治理新增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15人天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治理前基准合计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61人天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30% buffer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19人天（61×30%向上取整）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最终预算投入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80人天/640小时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交付周期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基准9周+30%</w:t>
            </w:r>
            <w:r>
              <w:t xml:space="preserve"> </w:t>
            </w:r>
            <w:r>
              <w:rPr>
                <w:rFonts w:hint="eastAsia"/>
              </w:rPr>
              <w:t xml:space="preserve">buffer约12周（59个工作日）</w:t>
            </w:r>
          </w:p>
        </w:tc>
      </w:tr>
    </w:tbl>
    <w:bookmarkEnd w:id="9"/>
    <w:bookmarkStart w:id="12" w:name="二agent智能体开发报价"/>
    <w:p>
      <w:pPr>
        <w:pStyle w:val="Heading2"/>
      </w:pPr>
      <w:r>
        <w:rPr>
          <w:rFonts w:hint="eastAsia"/>
        </w:rPr>
        <w:t xml:space="preserve">二、Agent智能体开发报价</w:t>
      </w:r>
    </w:p>
    <w:p>
      <w:pPr>
        <w:pStyle w:val="FirstParagraph"/>
      </w:pPr>
      <w:r>
        <w:rPr>
          <w:rFonts w:hint="eastAsia"/>
        </w:rPr>
        <w:t xml:space="preserve">本项目按文档解析、知识检索、BOM推导、批量生成和人工复核智能体协作估算，不包含历史数据清洗和大规模人工标注。</w:t>
      </w:r>
    </w:p>
    <w:p>
      <w:pPr>
        <w:pStyle w:val="BodyText"/>
      </w:pPr>
      <w:r>
        <w:rPr>
          <w:rFonts w:hint="eastAsia"/>
          <w:b/>
          <w:bCs/>
        </w:rPr>
        <w:t xml:space="preserve">Agent交付边界</w:t>
      </w:r>
      <w:r>
        <w:rPr>
          <w:rFonts w:hint="eastAsia"/>
        </w:rPr>
        <w:t xml:space="preserve">：首期交付任务编排、文档解析、字段校验、BOM检索、EBOM推导、差异批量和BOM审校能力，包含来源订单、BOM版本、推导依据、置信度、人工修正和复检记录。低置信度或关键物料冲突时禁止确认；禁止自动下单、修改物料主数据和下发生产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Agent开发阶段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基准人天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Buffer人天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计价人天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未税金额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含税金额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Agent需求建模与任务编排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13,174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历史BOM知识库与物料规则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15,056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订单解析智能体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20,702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EBOM推导智能体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23,088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24,466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差异订单批量生成智能体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15,984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16,938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BOM复核与结果管理智能体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10,656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11,292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Agent评估、部署、文档与验收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10,656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11,292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FDE治理新增：身份、权限、日志、回滚、24项验收与客户交接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33,744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35,758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142,080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150,560</w:t>
            </w:r>
          </w:p>
        </w:tc>
      </w:tr>
    </w:tbl>
    <w:bookmarkStart w:id="10" w:name="agent搭建与验收流程"/>
    <w:p>
      <w:pPr>
        <w:pStyle w:val="Heading3"/>
      </w:pPr>
      <w:r>
        <w:rPr>
          <w:rFonts w:hint="eastAsia"/>
        </w:rPr>
        <w:t xml:space="preserve">Agent搭建与验收流程</w:t>
      </w:r>
    </w:p>
    <w:p>
      <w:pPr>
        <w:pStyle w:val="FirstParagraph"/>
      </w:pPr>
      <w:r>
        <w:rPr>
          <w:rFonts w:hint="eastAsia"/>
        </w:rPr>
        <w:t xml:space="preserve">Discovery确认订单格式、BOM负责人、物料规则和黄金/坏样例；PoC验证单一订单格式和产品族；评测关卡固化字段识别、物料匹配、层级数量一致率和低置信度接管通过线；生产切片以人工复核和版本留存为前提；扩展与交接完成批量差异回归、回滚演练和客户独立运行演练。FDE治理为单列新增工作包，不与原评测工作重复。</w:t>
      </w:r>
    </w:p>
    <w:bookmarkEnd w:id="10"/>
    <w:bookmarkStart w:id="11" w:name="fde范围与冻结门禁"/>
    <w:p>
      <w:pPr>
        <w:pStyle w:val="Heading3"/>
      </w:pPr>
      <w:r>
        <w:rPr>
          <w:rFonts w:hint="eastAsia"/>
        </w:rPr>
        <w:t xml:space="preserve">FDE范围与冻结门禁</w:t>
      </w:r>
    </w:p>
    <w:p>
      <w:pPr>
        <w:pStyle w:val="FirstParagraph"/>
      </w:pPr>
      <w:r>
        <w:rPr>
          <w:rFonts w:hint="eastAsia"/>
        </w:rPr>
        <w:t xml:space="preserve">FDE结论为</w:t>
      </w:r>
      <w:r>
        <w:t xml:space="preserve"> </w:t>
      </w:r>
      <w:r>
        <w:rPr>
          <w:rStyle w:val="VerbatimChar"/>
        </w:rPr>
        <w:t xml:space="preserve">require clarification</w:t>
      </w:r>
      <w:r>
        <w:rPr>
          <w:rFonts w:hint="eastAsia"/>
        </w:rPr>
        <w:t xml:space="preserve">（完整性评分57/100）。报价冻结前须确认订单格式、物料主数据及BOM版本负责人、效率基线、低置信度接管人、历史BOM脱敏和留存规则。未完成确认前，禁止自动下单、修改物料主数据或下发生产。</w:t>
      </w:r>
    </w:p>
    <w:bookmarkEnd w:id="11"/>
    <w:bookmarkEnd w:id="12"/>
    <w:bookmarkStart w:id="13" w:name="三独立预算"/>
    <w:p>
      <w:pPr>
        <w:pStyle w:val="Heading2"/>
      </w:pPr>
      <w:r>
        <w:rPr>
          <w:rFonts w:hint="eastAsia"/>
        </w:rPr>
        <w:t xml:space="preserve">三、独立预算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未税预算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含税预算/说明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私有化服务器、存储与备份（12个月）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36,000</w:t>
            </w:r>
          </w:p>
        </w:tc>
        <w:tc>
          <w:tcPr/>
          <w:p>
            <w:pPr>
              <w:pStyle w:val="Compact"/>
            </w:pPr>
            <w:r>
              <w:t xml:space="preserve">38,160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OCR/文档解析服务（首年）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18,000</w:t>
            </w:r>
          </w:p>
        </w:tc>
        <w:tc>
          <w:tcPr/>
          <w:p>
            <w:pPr>
              <w:pStyle w:val="Compact"/>
            </w:pPr>
            <w:r>
              <w:t xml:space="preserve">19,080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ERP/MES/文件系统对接预留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35,520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37,651，按20人天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12,720，实报实销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AI大模型调用（首年）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38,160，按实际用量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外部预算合计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137,520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145,771</w:t>
            </w:r>
          </w:p>
        </w:tc>
      </w:tr>
    </w:tbl>
    <w:bookmarkEnd w:id="13"/>
    <w:bookmarkStart w:id="14" w:name="四交付与知识产权"/>
    <w:p>
      <w:pPr>
        <w:pStyle w:val="Heading2"/>
      </w:pPr>
      <w:r>
        <w:rPr>
          <w:rFonts w:hint="eastAsia"/>
        </w:rPr>
        <w:t xml:space="preserve">四、交付与知识产权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包含SRS、部署配置手册、用户手册、测试报告、验收材料、部署程序包和本项目定制代码。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不包含软著申请服务</w:t>
      </w:r>
      <w:r>
        <w:rPr>
          <w:rFonts w:hint="eastAsia"/>
        </w:rPr>
        <w:t xml:space="preserve">；如需申请，建议另行预算8,000元含税/套，周期另计4-8周。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历史BOM清洗、编码治理、大规模人工标注和第三方系统接口开发均需单独预算。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Discovery阶段封顶8人天；需求和验收门禁书面冻结后，剩余预算方可进入里程碑。最终节点须客户独立回归、手册实操、AC01-24记录及AC03/11/16/20通过。建议冻结后采用30%/40%/30%，Discovery可抵扣。免费质保3个月；软件价不含外部开支。</w:t>
      </w:r>
    </w:p>
    <w:bookmarkEnd w:id="14"/>
    <w:bookmarkStart w:id="15" w:name="五ai交付定价与成本模型"/>
    <w:p>
      <w:pPr>
        <w:pStyle w:val="Heading2"/>
      </w:pPr>
      <w:r>
        <w:rPr>
          <w:rFonts w:hint="eastAsia"/>
        </w:rPr>
        <w:t xml:space="preserve">五、AI交付定价与成本模型</w:t>
      </w:r>
    </w:p>
    <w:p>
      <w:pPr>
        <w:pStyle w:val="FirstParagraph"/>
      </w:pPr>
      <w:r>
        <w:rPr>
          <w:rFonts w:hint="eastAsia"/>
        </w:rPr>
        <w:t xml:space="preserve">报价为预算估算，不构成冻结承诺。未税1776元/人天、含税1882元/人天为当前软件计价假设，6%税率及“1882元”均待商务确认，1882不等于1776×1.06。AI模型成本另按单次、单用户月、峰值三档估算，需输入输出token、用户数、调用次数、上下文长度（按2倍敏感性）后由甲方确认；本报价不包含服务器、硬件、OCR、第三方接口、差旅或模型实际费用。</w:t>
      </w:r>
    </w:p>
    <w:p>
      <w:pPr>
        <w:pStyle w:val="BodyText"/>
      </w:pPr>
      <w:r>
        <w:rPr>
          <w:rFonts w:hint="eastAsia"/>
        </w:rPr>
        <w:t xml:space="preserve">软著申请不包含，知识资产归属及申请责任待《AI交付合同边界.md》补充后书面确认。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2026-09-16T01:51:36Z</dcterms:created>
  <dcterms:modified xsi:type="dcterms:W3CDTF">2026-09-16T01:51:36Z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