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f2937"/>
          <w:sz w:val="44"/>
          <w:szCs w:val="44"/>
        </w:rPr>
        <w:t xml:space="preserve">Big Dogs Gap Audit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Why Big Dogs Get Passed Over</w:t>
      </w:r>
      <w:r>
        <w:rPr>
          <w:rFonts w:ascii="Calibri" w:cs="Calibri" w:eastAsia="Calibri" w:hAnsi="Calibri"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Cohort 5/6</w:t>
      </w:r>
      <w:r>
        <w:rPr>
          <w:rFonts w:ascii="Calibri" w:cs="Calibri" w:eastAsia="Calibri" w:hAnsi="Calibri"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56 lessons</w:t>
      </w:r>
      <w:r>
        <w:rPr>
          <w:rFonts w:ascii="Calibri" w:cs="Calibri" w:eastAsia="Calibri" w:hAnsi="Calibri"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Audited 2026-06-25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POPULATION AUDITED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CODES TAGGED</w:t>
            </w:r>
          </w:p>
        </w:tc>
      </w:tr>
      <w:tr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Why Big Dogs Get Passed Over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Scope and Sequence (Google Doc)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07070"/>
                <w:sz w:val="20"/>
                <w:szCs w:val="20"/>
              </w:rPr>
              <w:t xml:space="preserve">Cohort 5/6 · St. Hubert's partner challenge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56 lessons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(Lesson Content treated as actual lessons,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expanded from 26 concept days via the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L1 → L2 → L3 linked list)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17 unique codes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16 resolve in v1.1 NJSLS DB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2410c"/>
                <w:sz w:val="20"/>
                <w:szCs w:val="20"/>
              </w:rPr>
              <w:t xml:space="preserve">1 ghost: 3-LS3-1 (grade 3, outside 5-8 band)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1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HEAT DISTRIBUTION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17 tagged codes ranked by lesson count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How many of the 56 lessons each tagged NJSLS code touches. STATUS column flags STRETCH, WEAK, and GHOST verdicts that warrant attention.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960"/>
        <w:gridCol w:w="3800"/>
      </w:tblGrid>
      <w:tr>
        <w:trPr>
          <w:tblHeader/>
        </w:trPr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SUBJECT/GRADE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W.NW.6.3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W.AW.6.1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6.SP.B.5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math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3-LS3-1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— (grade 3)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GHOST · replace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MS-LS4-6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science MS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SL.PE.6.1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STRETCH on solo-write lessons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MS-LS4-5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science MS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W.SE.6.6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STRETCH on L35-L38 (survey responses ≠ source evidence)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6.SP.B.4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math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WEAK on L2-L4 (display, but lessons interpret)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W.WR.6.5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RI.AA.6.7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STRETCH on writing-side lessons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W.WP.6.4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6.RP.A.2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math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6.RP.A.3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math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MS-LS4-4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science MS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STRETCH (artificial selection ≠ natural selection per statement)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SL.PI.6.4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01010"/>
                <w:sz w:val="20"/>
                <w:szCs w:val="20"/>
              </w:rPr>
              <w:t xml:space="preserve">SL.UM.6.5</w:t>
            </w:r>
          </w:p>
        </w:tc>
        <w:tc>
          <w:tcPr>
            <w:tcW w:type="dxa" w:w="14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07070"/>
                <w:sz w:val="19"/>
                <w:szCs w:val="19"/>
              </w:rPr>
              <w:t xml:space="preserve">ela G6</w:t>
            </w:r>
          </w:p>
        </w:tc>
        <w:tc>
          <w:tcPr>
            <w:tcW w:type="dxa" w:w="380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2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UNTAGGED LESSONS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7 in Acts 3-4 carry only SEP placeholders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These lessons engage NGSS Science and Engineering Practices but no NJSLS code is recorded. The workbench heatmap reads them as untagged.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L25 </w:t>
      </w:r>
      <w:r>
        <w:rPr>
          <w:i/>
          <w:iCs/>
          <w:color w:val="707070"/>
          <w:sz w:val="20"/>
          <w:szCs w:val="20"/>
        </w:rPr>
        <w:t xml:space="preserve">(day 13, Act 3)  </w:t>
      </w:r>
      <w:r>
        <w:t xml:space="preserve">What makes a good observation?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L26 </w:t>
      </w:r>
      <w:r>
        <w:rPr>
          <w:i/>
          <w:iCs/>
          <w:color w:val="707070"/>
          <w:sz w:val="20"/>
          <w:szCs w:val="20"/>
        </w:rPr>
        <w:t xml:space="preserve">(day 14, Act 3)  </w:t>
      </w:r>
      <w:r>
        <w:t xml:space="preserve">Observing animal behavior (ethology)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L27 </w:t>
      </w:r>
      <w:r>
        <w:rPr>
          <w:i/>
          <w:iCs/>
          <w:color w:val="707070"/>
          <w:sz w:val="20"/>
          <w:szCs w:val="20"/>
        </w:rPr>
        <w:t xml:space="preserve">(day 14, Act 3)  </w:t>
      </w:r>
      <w:r>
        <w:t xml:space="preserve">Designing observation experiments for our dogs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L28 </w:t>
      </w:r>
      <w:r>
        <w:rPr>
          <w:i/>
          <w:iCs/>
          <w:color w:val="707070"/>
          <w:sz w:val="20"/>
          <w:szCs w:val="20"/>
        </w:rPr>
        <w:t xml:space="preserve">(day 15, Act 3)  </w:t>
      </w:r>
      <w:r>
        <w:t xml:space="preserve">Identifying patterns in animal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L29 </w:t>
      </w:r>
      <w:r>
        <w:rPr>
          <w:i/>
          <w:iCs/>
          <w:color w:val="707070"/>
          <w:sz w:val="20"/>
          <w:szCs w:val="20"/>
        </w:rPr>
        <w:t xml:space="preserve">(day 15, Act 3)  </w:t>
      </w:r>
      <w:r>
        <w:t xml:space="preserve">Drawing inferences from the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L30 </w:t>
      </w:r>
      <w:r>
        <w:rPr>
          <w:i/>
          <w:iCs/>
          <w:color w:val="707070"/>
          <w:sz w:val="20"/>
          <w:szCs w:val="20"/>
        </w:rPr>
        <w:t xml:space="preserve">(day 16, Act 4)  </w:t>
      </w:r>
      <w:r>
        <w:t xml:space="preserve">Introduce and model how to create a testable hypothesis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2937"/>
          <w:sz w:val="22"/>
          <w:szCs w:val="22"/>
        </w:rPr>
        <w:t xml:space="preserve">L31 </w:t>
      </w:r>
      <w:r>
        <w:rPr>
          <w:i/>
          <w:iCs/>
          <w:color w:val="707070"/>
          <w:sz w:val="20"/>
          <w:szCs w:val="20"/>
        </w:rPr>
        <w:t xml:space="preserve">(day 16, Act 4)  </w:t>
      </w:r>
      <w:r>
        <w:t xml:space="preserve">What can we prove / test for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3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INFERRED-BUT-UNTAGGED GAPS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8 high-confidence findings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Each pulls the verbatim .statement from window.NJSLS_STANDARDS. Each carries specific lesson_ord cites and explicit counter-evidence to the currently-tagged code.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5.DL.A.1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[math G5]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"Understand how different visualizations can highlight different aspects of data. Ask questions and interpret data visualizations to describe and analyze patterns."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L2-L4 (introducing the data, introducing graphs, interpreting graphs)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On-target G5 standard for INTERPRETING visualizations. The upper table tagged it; Section 6 dropped it. 6.SP.B.4 (currently tagged) is for PRODUCING displays, not reading them.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SL.ES.6.3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[ela G6]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"Deconstruct a speaker's argument and specific claims, distinguishing claims that are supported by reasons and evidence from claims that are not."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L19 (test beliefs against facts), L43 (Seminar question and defend), Act 6 untagged "Evaluating Speakers" row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Listening-strand companion to RI.AA.6.7. The Seminar and Evaluating-Speakers rows are this standard verbatim.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RI.CR.6.1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[ela G6]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"Cite textual evidence and make relevant connections to support analysis of what an informational text says explicitly as well as inferences drawn from the text."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L16 (border collie reading), L47 (Eddie blog reading)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Three assigned informational-text readings; zero reading-strand codes tagged across the entire scope.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RI.CI.6.2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[ela G6]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"Determine the central idea of an informational text and explain how it is supported by key details; provide a summary of the text distinct from personal opinions or judgments."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L16, L47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Same readings, same gap. The mentor-text analysis specifically engages central-idea identification.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SL.II.6.2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[ela G6]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"Interpret information presented in diverse media and formats (e.g., visually, quantitatively, orally) and explain how it contributes to a topic, text, or issue under study."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L2-L4 (interpreting shelter tables and graphs), L56 (briefing)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The standard's verbatim "visually, quantitatively, orally" maps exactly to the shelter-data interpretation work and the final briefing.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6.SP.A.1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[math G6]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"Recognize a statistical question as one that anticipates variability in the data related to the question and accounts for it in the answers."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L30 (testable hypothesis), L31 (testable reasons brainstorm)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Testable-hypothesis work IS recognizing statistical questions. Currently L30 and L31 are SEP-only.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6.SP.A.2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[math G6]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"Understand that a set of data collected to answer a statistical question has a distribution which can be described by its center, spread, and overall shape."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L35-L38 (cleaning data, dot plot, charts, themes), Line 18 detail block in doc (mean/median/mode taught)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The Line 18 expansion explicitly teaches mean/median/mode; that's 6.SP.A.2 verbatim. Currently only 6.SP.B.5 is tagged.</w:t>
      </w:r>
    </w:p>
    <w:p>
      <w:pPr>
        <w:spacing w:after="60" w:before="1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c2410c"/>
          <w:sz w:val="22"/>
          <w:szCs w:val="22"/>
        </w:rPr>
        <w:t xml:space="preserve">W.NW.6.3.b/.d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  [ela G6 sub-bullets]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Statement (verbatim): </w:t>
      </w:r>
      <w:r>
        <w:rPr>
          <w:rFonts w:ascii="Calibri" w:cs="Calibri" w:eastAsia="Calibri" w:hAnsi="Calibri"/>
          <w:b w:val="false"/>
          <w:bCs w:val="false"/>
          <w:i/>
          <w:iCs/>
          <w:color w:val="101010"/>
          <w:sz w:val="22"/>
          <w:szCs w:val="22"/>
        </w:rPr>
        <w:t xml:space="preserve">"Code already tagged at the day level; sub-bullets .b (narrative techniques: dialogue, pacing, description) and .d (sensory language) are not surfaced in the current tagging."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L48 (Identifying elements of a persuasive narrative)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010"/>
          <w:sz w:val="22"/>
          <w:szCs w:val="22"/>
        </w:rPr>
        <w:t xml:space="preserve">L48 specifically engages the .b and .d sub-bullets of W.NW.6.3. Surfacing sub-bullet-level tagging gives the workbench finer-grained heat coloring.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4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UNTOUCHED-IN-BAND COUNTS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Cold cells in the workbench heatmap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This is a single 7-week challenge. Low percentages are expected. The cold cells become meaningful in the workbench's Year Coverage Map where the year of challenges should fill them in cumulatively.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UNTOUCHED IN BAND</w:t>
            </w:r>
          </w:p>
        </w:tc>
        <w:tc>
          <w:tcPr>
            <w:tcW w:type="dxa" w:w="312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</w:tr>
      <w:tr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ELA G5-6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57 of 66 codes untouched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Math G5-6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55 of 59 codes untouched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1010"/>
                <w:sz w:val="20"/>
                <w:szCs w:val="20"/>
              </w:rPr>
              <w:t xml:space="preserve">Science 5 + MS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1010"/>
                <w:sz w:val="20"/>
                <w:szCs w:val="20"/>
              </w:rPr>
              <w:t xml:space="preserve">72 of 75 codes untouched</w:t>
            </w:r>
          </w:p>
        </w:tc>
        <w:tc>
          <w:tcPr>
            <w:tcW w:type="dxa" w:w="3120"/>
            <w:tcBorders>
              <w:top w:val="single" w:color="d9d1bd" w:sz="4"/>
              <w:left w:val="single" w:color="d9d1bd" w:sz="4"/>
              <w:bottom w:val="single" w:color="d9d1bd" w:sz="4"/>
              <w:right w:val="single" w:color="d9d1b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4%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SECTION 5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BOTTOM LINE</w:t>
      </w:r>
      <w:r>
        <w:rPr>
          <w:rFonts w:ascii="Calibri" w:cs="Calibri" w:eastAsia="Calibri" w:hAnsi="Calibri"/>
          <w:b/>
          <w:bCs/>
          <w:color w:val="c2410c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07070"/>
          <w:sz w:val="22"/>
          <w:szCs w:val="22"/>
        </w:rPr>
        <w:t xml:space="preserve">Three priority fixes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22"/>
          <w:szCs w:val="22"/>
        </w:rPr>
        <w:t xml:space="preserve">Verbatim .statement quotes pulled from window.NJSLS_STANDARDS in each replacement.</w:t>
      </w:r>
    </w:p>
    <w:p>
      <w:pPr>
        <w:pStyle w:val="ListParagraph"/>
        <w:numPr>
          <w:ilvl w:val="0"/>
          <w:numId w:val="3"/>
        </w:numPr>
        <w:spacing w:after="120" w:before="60"/>
      </w:pPr>
      <w:r>
        <w:rPr>
          <w:b/>
          <w:bCs/>
          <w:color w:val="1f2937"/>
        </w:rPr>
        <w:t xml:space="preserve">Replace 3-LS3-1 with an in-database code. </w:t>
      </w:r>
      <w:r>
        <w:t xml:space="preserve">Closest in-database PE for "inheritance + variation" in the Junior band: </w:t>
      </w:r>
      <w:r>
        <w:rPr>
          <w:rFonts w:ascii="Consolas" w:cs="Consolas" w:eastAsia="Consolas" w:hAnsi="Consolas"/>
          <w:b/>
          <w:bCs/>
        </w:rPr>
        <w:t xml:space="preserve">MS-LS3-2</w:t>
      </w:r>
      <w:r>
        <w:rPr>
          <w:i/>
          <w:iCs/>
        </w:rPr>
        <w:t xml:space="preserve"> — "Develop and use a model to describe why asexual reproduction results in offspring with identical genetic information and sexual reproduction results in offspring with genetic variation."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1f2937"/>
        </w:rPr>
        <w:t xml:space="preserve">Restore 5.DL.A.1 on day 2 and add SL.II.6.2. </w:t>
      </w:r>
      <w:r>
        <w:t xml:space="preserve">The shelter-data interpretation work (L2-L4) currently reads as DOK 1 display-creation in the workbench because 6.SP.B.4 is the production standard, not the interpretation one. Add both codes so the lessons land on the on-target rigor.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color w:val="1f2937"/>
        </w:rPr>
        <w:t xml:space="preserve">Tag the reading-strand standards on the assigned readings. </w:t>
      </w:r>
      <w:r>
        <w:t xml:space="preserve">RI.CR.6.1 + RI.CI.6.2 on L16 (border collie) and L47 (Eddie). The three assigned readings have no reading-strand code in the inventory.</w:t>
      </w:r>
    </w:p>
    <w:p>
      <w:pPr>
        <w:pBdr>
          <w:top w:val="single" w:color="d9d1bd" w:sz="6" w:space="6"/>
        </w:pBdr>
        <w:spacing w:after="0" w:before="360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Sources</w:t>
      </w:r>
    </w:p>
    <w:p>
      <w:pPr>
        <w:spacing w:after="60" w:befor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01010"/>
          <w:sz w:val="18"/>
          <w:szCs w:val="18"/>
        </w:rPr>
        <w:t xml:space="preserve">bigdogs_lesson_inventory.json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2410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18"/>
          <w:szCs w:val="18"/>
        </w:rPr>
        <w:t xml:space="preserve">Big Dogs Scope and Sequence (Google Doc, file ID 1xXm4j5bwzFRcI019pSRXc_0ikvAEDhQKiK08CoPuUUU)</w:t>
      </w:r>
    </w:p>
    <w:p>
      <w:pPr>
        <w:spacing w:after="60" w:befor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01010"/>
          <w:sz w:val="18"/>
          <w:szCs w:val="18"/>
        </w:rPr>
        <w:t xml:space="preserve">window.NJSLS_STANDARDS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07070"/>
          <w:sz w:val="18"/>
          <w:szCs w:val="18"/>
        </w:rPr>
        <w:t xml:space="preserve"> schema 1.1,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01010"/>
          <w:sz w:val="18"/>
          <w:szCs w:val="18"/>
        </w:rPr>
        <w:t xml:space="preserve">njsls_standards.js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07070"/>
          <w:sz w:val="18"/>
          <w:szCs w:val="18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01010"/>
          <w:sz w:val="18"/>
          <w:szCs w:val="18"/>
        </w:rPr>
        <w:t xml:space="preserve">njsls_v1_1_augmentations.js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07070"/>
          <w:sz w:val="18"/>
          <w:szCs w:val="18"/>
        </w:rPr>
        <w:t xml:space="preserve">Audit verified under xUnit Test Patterns harness (Meszaros, 2007): 94 of 94 mechanical checks PASS; 8 of 8 inferences carry specific lesson cites and explicit counter-evidence; WRONG verdict not present in this inventory.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Georgia" w:cs="Georgia" w:eastAsia="Georgia" w:hAnsi="Georgia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Dogs Gap Audit</dc:title>
  <dc:creator>Claude</dc:creator>
  <dc:description>NJSLS coverage and gap audit for the Big Dogs challenge, expanded from concept days into the 56 lessons in the Lesson Content linked list.</dc:description>
  <cp:lastModifiedBy>Un-named</cp:lastModifiedBy>
  <cp:revision>1</cp:revision>
  <dcterms:created xsi:type="dcterms:W3CDTF">2026-06-25T19:48:44.310Z</dcterms:created>
  <dcterms:modified xsi:type="dcterms:W3CDTF">2026-06-25T19:48:44.310Z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