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410c"/>
          <w:sz w:val="18"/>
          <w:szCs w:val="18"/>
        </w:rPr>
        <w:t xml:space="preserve">FORGE PREP LIVINGSTON, NEW JERSEY  ·  FOUNDING YEAR 2026 – 2027</w:t>
      </w:r>
    </w:p>
    <w:p>
      <w:pPr>
        <w:spacing w:after="60" w:before="60"/>
      </w:pPr>
      <w:r>
        <w:rPr>
          <w:rFonts w:ascii="Calibri" w:cs="Calibri" w:eastAsia="Calibri" w:hAnsi="Calibri"/>
          <w:b/>
          <w:bCs/>
          <w:color w:val="1f2937"/>
          <w:sz w:val="40"/>
          <w:szCs w:val="40"/>
        </w:rPr>
        <w:t xml:space="preserve">Forge Challenge — Phase View by Content Area</w:t>
      </w:r>
    </w:p>
    <w:p>
      <w:pPr>
        <w:spacing w:after="240"/>
      </w:pPr>
      <w:r>
        <w:rPr>
          <w:rFonts w:ascii="Calibri" w:cs="Calibri" w:eastAsia="Calibri" w:hAnsi="Calibri"/>
          <w:i/>
          <w:iCs/>
          <w:color w:val="595959"/>
          <w:sz w:val="22"/>
          <w:szCs w:val="22"/>
        </w:rPr>
        <w:t xml:space="preserve">Curriculum design template organized by Preparation, Exploration, Presentation. Within each phase, learning objectives grouped by content area.</w:t>
      </w:r>
    </w:p>
    <w:p>
      <w:pPr>
        <w:pBdr>
          <w:bottom w:val="single" w:color="c2410c" w:sz="6" w:space="1"/>
        </w:pBdr>
        <w:spacing w:after="60" w:before="60"/>
      </w:pPr>
    </w:p>
    <w:p>
      <w:pPr>
        <w:spacing w:after="120"/>
      </w:pPr>
      <w:r>
        <w:rPr>
          <w:rFonts w:ascii="Calibri" w:cs="Calibri" w:eastAsia="Calibri" w:hAnsi="Calibri"/>
          <w:color w:val="222222"/>
          <w:sz w:val="22"/>
          <w:szCs w:val="22"/>
        </w:rPr>
        <w:t xml:space="preserve">Three durable skills the challenge teaches: Genetics, Critical evaluation of a claim, Persuasion. The 8 weeks divide into three phases. Standards anchors carry through unchanged from the source template. Phase placements are inferences based on the texture work; flag anything you would move.</w:t>
      </w:r>
    </w:p>
    <w:p>
      <w:pPr>
        <w:spacing w:after="120"/>
      </w:pPr>
      <w:r>
        <w:rPr>
          <w:rFonts w:ascii="Calibri" w:cs="Calibri" w:eastAsia="Calibri" w:hAnsi="Calibri"/>
          <w:color w:val="222222"/>
          <w:sz w:val="22"/>
          <w:szCs w:val="22"/>
        </w:rPr>
        <w:t xml:space="preserve">Week-by-week pacing is intentionally omitted. Ideate on that separately.</w:t>
      </w:r>
    </w:p>
    <w:p>
      <w:pPr>
        <w:pStyle w:val="Heading1"/>
        <w:spacing w:after="100" w:before="400"/>
      </w:pPr>
      <w:r>
        <w:rPr>
          <w:rFonts w:ascii="Calibri" w:cs="Calibri" w:eastAsia="Calibri" w:hAnsi="Calibri"/>
          <w:b/>
          <w:bCs/>
          <w:color w:val="1f2937"/>
          <w:sz w:val="34"/>
          <w:szCs w:val="34"/>
        </w:rPr>
        <w:t xml:space="preserve">Essential Questions (cross-cutting)</w:t>
      </w:r>
    </w:p>
    <w:p>
      <w:pPr>
        <w:spacing w:after="120"/>
      </w:pPr>
      <w:r>
        <w:rPr>
          <w:rFonts w:ascii="Calibri" w:cs="Calibri" w:eastAsia="Calibri" w:hAnsi="Calibri"/>
          <w:color w:val="222222"/>
          <w:sz w:val="22"/>
          <w:szCs w:val="22"/>
        </w:rPr>
        <w:t xml:space="preserve">These hold across all three phases.</w:t>
      </w:r>
    </w:p>
    <w:p>
      <w:pPr>
        <w:pStyle w:val="ListParagraph"/>
        <w:numPr>
          <w:ilvl w:val="0"/>
          <w:numId w:val="2"/>
        </w:numPr>
        <w:spacing w:after="40"/>
      </w:pPr>
      <w:r>
        <w:rPr>
          <w:rFonts w:ascii="Calibri" w:cs="Calibri" w:eastAsia="Calibri" w:hAnsi="Calibri"/>
          <w:color w:val="222222"/>
          <w:sz w:val="22"/>
          <w:szCs w:val="22"/>
        </w:rPr>
        <w:t xml:space="preserve">Genetics: How much of an organism's behavior is shaped by heredity, and how much is shaped by environment?</w:t>
      </w:r>
    </w:p>
    <w:p>
      <w:pPr>
        <w:pStyle w:val="ListParagraph"/>
        <w:numPr>
          <w:ilvl w:val="0"/>
          <w:numId w:val="2"/>
        </w:numPr>
        <w:spacing w:after="40"/>
      </w:pPr>
      <w:r>
        <w:rPr>
          <w:rFonts w:ascii="Calibri" w:cs="Calibri" w:eastAsia="Calibri" w:hAnsi="Calibri"/>
          <w:color w:val="222222"/>
          <w:sz w:val="22"/>
          <w:szCs w:val="22"/>
        </w:rPr>
        <w:t xml:space="preserve">Critical evaluation: How do you distinguish an evidence-supported claim from an inherited assumption?</w:t>
      </w:r>
    </w:p>
    <w:p>
      <w:pPr>
        <w:pStyle w:val="ListParagraph"/>
        <w:numPr>
          <w:ilvl w:val="0"/>
          <w:numId w:val="2"/>
        </w:numPr>
        <w:spacing w:after="40"/>
      </w:pPr>
      <w:r>
        <w:rPr>
          <w:rFonts w:ascii="Calibri" w:cs="Calibri" w:eastAsia="Calibri" w:hAnsi="Calibri"/>
          <w:color w:val="222222"/>
          <w:sz w:val="22"/>
          <w:szCs w:val="22"/>
        </w:rPr>
        <w:t xml:space="preserve">Persuasion: What conditions allow evidence to change a reader's position?</w:t>
      </w:r>
    </w:p>
    <w:p>
      <w:pPr>
        <w:pStyle w:val="ListParagraph"/>
        <w:numPr>
          <w:ilvl w:val="0"/>
          <w:numId w:val="2"/>
        </w:numPr>
        <w:spacing w:after="40"/>
      </w:pPr>
      <w:r>
        <w:rPr>
          <w:rFonts w:ascii="Calibri" w:cs="Calibri" w:eastAsia="Calibri" w:hAnsi="Calibri"/>
          <w:color w:val="222222"/>
          <w:sz w:val="22"/>
          <w:szCs w:val="22"/>
        </w:rPr>
        <w:t xml:space="preserve">Equity question: When does a measurable difference become an injustice?</w:t>
      </w:r>
    </w:p>
    <w:p>
      <w:pPr>
        <w:pStyle w:val="Heading1"/>
        <w:spacing w:after="100" w:before="400"/>
      </w:pPr>
      <w:r>
        <w:rPr>
          <w:rFonts w:ascii="Calibri" w:cs="Calibri" w:eastAsia="Calibri" w:hAnsi="Calibri"/>
          <w:b/>
          <w:bCs/>
          <w:color w:val="1f2937"/>
          <w:sz w:val="34"/>
          <w:szCs w:val="34"/>
        </w:rPr>
        <w:t xml:space="preserve">Phase 1 — Preparation</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Define.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explicit instruction.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content delivery; the team-selected case is not yet load-bearing.</w:t>
      </w:r>
    </w:p>
    <w:p>
      <w:pPr>
        <w:spacing w:after="50" w:before="140"/>
      </w:pPr>
      <w:r>
        <w:rPr>
          <w:rFonts w:ascii="Calibri" w:cs="Calibri" w:eastAsia="Calibri" w:hAnsi="Calibri"/>
          <w:b/>
          <w:bCs/>
          <w:color w:val="3a6b65"/>
          <w:sz w:val="20"/>
          <w:szCs w:val="20"/>
        </w:rPr>
        <w:t xml:space="preserve">Topics introduced in this phase</w:t>
      </w:r>
    </w:p>
    <w:p>
      <w:pPr>
        <w:pStyle w:val="ListParagraph"/>
        <w:numPr>
          <w:ilvl w:val="0"/>
          <w:numId w:val="2"/>
        </w:numPr>
        <w:spacing w:after="40"/>
      </w:pPr>
      <w:r>
        <w:rPr>
          <w:rFonts w:ascii="Calibri" w:cs="Calibri" w:eastAsia="Calibri" w:hAnsi="Calibri"/>
          <w:color w:val="222222"/>
          <w:sz w:val="22"/>
          <w:szCs w:val="22"/>
        </w:rPr>
        <w:t xml:space="preserve">Heredity, wolves-to-dogs evolutionary arc, domestication, animal husbandry, Punnett square mechanics</w:t>
      </w:r>
    </w:p>
    <w:p>
      <w:pPr>
        <w:pStyle w:val="ListParagraph"/>
        <w:numPr>
          <w:ilvl w:val="0"/>
          <w:numId w:val="2"/>
        </w:numPr>
        <w:spacing w:after="40"/>
      </w:pPr>
      <w:r>
        <w:rPr>
          <w:rFonts w:ascii="Calibri" w:cs="Calibri" w:eastAsia="Calibri" w:hAnsi="Calibri"/>
          <w:color w:val="222222"/>
          <w:sz w:val="22"/>
          <w:szCs w:val="22"/>
        </w:rPr>
        <w:t xml:space="preserve">Unit rates, ratios, proportional reasoning, percentage difference</w:t>
      </w:r>
    </w:p>
    <w:p>
      <w:pPr>
        <w:pStyle w:val="ListParagraph"/>
        <w:numPr>
          <w:ilvl w:val="0"/>
          <w:numId w:val="2"/>
        </w:numPr>
        <w:spacing w:after="40"/>
      </w:pPr>
      <w:r>
        <w:rPr>
          <w:rFonts w:ascii="Calibri" w:cs="Calibri" w:eastAsia="Calibri" w:hAnsi="Calibri"/>
          <w:color w:val="222222"/>
          <w:sz w:val="22"/>
          <w:szCs w:val="22"/>
        </w:rPr>
        <w:t xml:space="preserve">Claim, counterclaim, reasoning, evidence (the argument frame); relevant vs irrelevant evidence</w:t>
      </w:r>
    </w:p>
    <w:p>
      <w:pPr>
        <w:pStyle w:val="ListParagraph"/>
        <w:numPr>
          <w:ilvl w:val="0"/>
          <w:numId w:val="2"/>
        </w:numPr>
        <w:spacing w:after="40"/>
      </w:pPr>
      <w:r>
        <w:rPr>
          <w:rFonts w:ascii="Calibri" w:cs="Calibri" w:eastAsia="Calibri" w:hAnsi="Calibri"/>
          <w:color w:val="222222"/>
          <w:sz w:val="22"/>
          <w:szCs w:val="22"/>
        </w:rPr>
        <w:t xml:space="preserve">Partner institutions and their role in communities (orientation)</w:t>
      </w:r>
    </w:p>
    <w:p>
      <w:pPr>
        <w:pStyle w:val="Heading2"/>
        <w:spacing w:after="100" w:before="260"/>
      </w:pPr>
      <w:r>
        <w:rPr>
          <w:rFonts w:ascii="Calibri" w:cs="Calibri" w:eastAsia="Calibri" w:hAnsi="Calibri"/>
          <w:b/>
          <w:bCs/>
          <w:color w:val="c2410c"/>
          <w:sz w:val="26"/>
          <w:szCs w:val="26"/>
        </w:rPr>
        <w:t xml:space="preserve">Science (Biology and genetics)</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Distinguish a heritable trait from a learned behavior in a domesticated organism (MS-LS3-1, out-of-file)</w:t>
      </w:r>
    </w:p>
    <w:p>
      <w:pPr>
        <w:pStyle w:val="ListParagraph"/>
        <w:numPr>
          <w:ilvl w:val="0"/>
          <w:numId w:val="2"/>
        </w:numPr>
        <w:spacing w:after="40"/>
      </w:pPr>
      <w:r>
        <w:rPr>
          <w:rFonts w:ascii="Calibri" w:cs="Calibri" w:eastAsia="Calibri" w:hAnsi="Calibri"/>
          <w:color w:val="222222"/>
          <w:sz w:val="22"/>
          <w:szCs w:val="22"/>
        </w:rPr>
        <w:t xml:space="preserve">Define selective breeding and give two examples from the documented history of a domesticated species (MS-LS4-5, out-of-file)</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inheritance of a single trait across one generation (MS-LS3-2, out-of-file)</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probability that a specific trait will appear across multiple offspring (MS-LS3-2 out-of-file, 7.SP.C.7 in-file)</w:t>
      </w:r>
    </w:p>
    <w:p>
      <w:pPr>
        <w:pStyle w:val="ListParagraph"/>
        <w:numPr>
          <w:ilvl w:val="0"/>
          <w:numId w:val="2"/>
        </w:numPr>
        <w:spacing w:after="40"/>
      </w:pPr>
      <w:r>
        <w:rPr>
          <w:rFonts w:ascii="Calibri" w:cs="Calibri" w:eastAsia="Calibri" w:hAnsi="Calibri"/>
          <w:color w:val="222222"/>
          <w:sz w:val="22"/>
          <w:szCs w:val="22"/>
        </w:rPr>
        <w:t xml:space="preserve">Explain how artificial selection shifts trait frequency across a population over generations (MS-LS4-5, out-of-file)</w:t>
      </w:r>
    </w:p>
    <w:p>
      <w:pPr>
        <w:pStyle w:val="Heading2"/>
        <w:spacing w:after="100" w:before="260"/>
      </w:pPr>
      <w:r>
        <w:rPr>
          <w:rFonts w:ascii="Calibri" w:cs="Calibri" w:eastAsia="Calibri" w:hAnsi="Calibri"/>
          <w:b/>
          <w:bCs/>
          <w:color w:val="c2410c"/>
          <w:sz w:val="26"/>
          <w:szCs w:val="26"/>
        </w:rPr>
        <w:t xml:space="preserve">Mathematics</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the unit rates of two comparable quantities from primary-source data (6.RP.A.2)</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gap between two comparable quantities as a unit rate and as a percentage difference (7.RP.A.3)</w:t>
      </w:r>
    </w:p>
    <w:p>
      <w:pPr>
        <w:pStyle w:val="Heading2"/>
        <w:spacing w:after="100" w:before="260"/>
      </w:pPr>
      <w:r>
        <w:rPr>
          <w:rFonts w:ascii="Calibri" w:cs="Calibri" w:eastAsia="Calibri" w:hAnsi="Calibri"/>
          <w:b/>
          <w:bCs/>
          <w:color w:val="c2410c"/>
          <w:sz w:val="26"/>
          <w:szCs w:val="26"/>
        </w:rPr>
        <w:t xml:space="preserve">ELA (persuasion and critical evaluation)</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Distinguish evidence relevant to a claim from evidence irrelevant to it (RI.AA.6.7, W.AW.6.1)</w:t>
      </w:r>
    </w:p>
    <w:p>
      <w:pPr>
        <w:pStyle w:val="ListParagraph"/>
        <w:numPr>
          <w:ilvl w:val="0"/>
          <w:numId w:val="2"/>
        </w:numPr>
        <w:spacing w:after="40"/>
      </w:pPr>
      <w:r>
        <w:rPr>
          <w:rFonts w:ascii="Calibri" w:cs="Calibri" w:eastAsia="Calibri" w:hAnsi="Calibri"/>
          <w:color w:val="222222"/>
          <w:sz w:val="22"/>
          <w:szCs w:val="22"/>
        </w:rPr>
        <w:t xml:space="preserve">Distinguish a claim supported by reasons and evidence from a claim that is not (RI.AA.6.7)</w:t>
      </w:r>
    </w:p>
    <w:p>
      <w:pPr>
        <w:pStyle w:val="ListParagraph"/>
        <w:numPr>
          <w:ilvl w:val="0"/>
          <w:numId w:val="2"/>
        </w:numPr>
        <w:spacing w:after="40"/>
      </w:pPr>
      <w:r>
        <w:rPr>
          <w:rFonts w:ascii="Calibri" w:cs="Calibri" w:eastAsia="Calibri" w:hAnsi="Calibri"/>
          <w:color w:val="222222"/>
          <w:sz w:val="22"/>
          <w:szCs w:val="22"/>
        </w:rPr>
        <w:t xml:space="preserve">Identify the opposing claim a strong argument must answer (RI.AA.6.7)</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Evaluate an argument and assess whether the reasoning is sound and the evidence is relevant and sufficient (RI.AA.7.7, RI.AA.8.7)</w:t>
      </w:r>
    </w:p>
    <w:p>
      <w:pPr>
        <w:pStyle w:val="ListParagraph"/>
        <w:numPr>
          <w:ilvl w:val="0"/>
          <w:numId w:val="2"/>
        </w:numPr>
        <w:spacing w:after="40"/>
      </w:pPr>
      <w:r>
        <w:rPr>
          <w:rFonts w:ascii="Calibri" w:cs="Calibri" w:eastAsia="Calibri" w:hAnsi="Calibri"/>
          <w:color w:val="222222"/>
          <w:sz w:val="22"/>
          <w:szCs w:val="22"/>
        </w:rPr>
        <w:t xml:space="preserve">Recognize when irrelevant evidence is introduced into an argument (RI.AA.8.7)</w:t>
      </w:r>
    </w:p>
    <w:p>
      <w:pPr>
        <w:pStyle w:val="Heading2"/>
        <w:spacing w:after="100" w:before="260"/>
      </w:pPr>
      <w:r>
        <w:rPr>
          <w:rFonts w:ascii="Calibri" w:cs="Calibri" w:eastAsia="Calibri" w:hAnsi="Calibri"/>
          <w:b/>
          <w:bCs/>
          <w:color w:val="c2410c"/>
          <w:sz w:val="26"/>
          <w:szCs w:val="26"/>
        </w:rPr>
        <w:t xml:space="preserve">Social studies and civic context</w:t>
      </w:r>
    </w:p>
    <w:p>
      <w:pPr>
        <w:spacing w:after="120"/>
      </w:pPr>
      <w:r>
        <w:rPr>
          <w:rFonts w:ascii="Calibri" w:cs="Calibri" w:eastAsia="Calibri" w:hAnsi="Calibri"/>
          <w:color w:val="222222"/>
          <w:sz w:val="22"/>
          <w:szCs w:val="22"/>
        </w:rPr>
        <w:t xml:space="preserve">Topic introduction only in this phase: partner institutions, population-level community issues (Seniors), targeted legislation, municipal restrictions. No formal learning objectives fire yet; this is background context that supports the Exploration interrogation later.</w:t>
      </w:r>
    </w:p>
    <w:p>
      <w:pPr>
        <w:pStyle w:val="Heading2"/>
        <w:spacing w:after="100" w:before="260"/>
      </w:pPr>
      <w:r>
        <w:rPr>
          <w:rFonts w:ascii="Calibri" w:cs="Calibri" w:eastAsia="Calibri" w:hAnsi="Calibri"/>
          <w:b/>
          <w:bCs/>
          <w:color w:val="c2410c"/>
          <w:sz w:val="26"/>
          <w:szCs w:val="26"/>
        </w:rPr>
        <w:t xml:space="preserve">Marketing and communication</w:t>
      </w:r>
    </w:p>
    <w:p>
      <w:pPr>
        <w:spacing w:after="120"/>
      </w:pPr>
      <w:r>
        <w:rPr>
          <w:rFonts w:ascii="Calibri" w:cs="Calibri" w:eastAsia="Calibri" w:hAnsi="Calibri"/>
          <w:color w:val="222222"/>
          <w:sz w:val="22"/>
          <w:szCs w:val="22"/>
        </w:rPr>
        <w:t xml:space="preserve">Not introduced in this phase.</w:t>
      </w:r>
    </w:p>
    <w:p>
      <w:pPr>
        <w:pStyle w:val="Heading2"/>
        <w:spacing w:after="100" w:before="260"/>
      </w:pPr>
      <w:r>
        <w:rPr>
          <w:rFonts w:ascii="Calibri" w:cs="Calibri" w:eastAsia="Calibri" w:hAnsi="Calibri"/>
          <w:b/>
          <w:bCs/>
          <w:color w:val="c2410c"/>
          <w:sz w:val="26"/>
          <w:szCs w:val="26"/>
        </w:rPr>
        <w:t xml:space="preserve">Cognitive and meta-skills</w:t>
      </w:r>
    </w:p>
    <w:p>
      <w:pPr>
        <w:spacing w:after="120"/>
      </w:pPr>
      <w:r>
        <w:rPr>
          <w:rFonts w:ascii="Calibri" w:cs="Calibri" w:eastAsia="Calibri" w:hAnsi="Calibri"/>
          <w:color w:val="222222"/>
          <w:sz w:val="22"/>
          <w:szCs w:val="22"/>
        </w:rPr>
        <w:t xml:space="preserve">Foundation only. Students begin to distinguish assumption, opinion, and evidence-supported claim through the ELA argument-frame work. No standalone meta-skills objectives fire here.</w:t>
      </w:r>
    </w:p>
    <w:p>
      <w:pPr>
        <w:pStyle w:val="Heading1"/>
        <w:spacing w:after="100" w:before="400"/>
      </w:pPr>
      <w:r>
        <w:rPr>
          <w:rFonts w:ascii="Calibri" w:cs="Calibri" w:eastAsia="Calibri" w:hAnsi="Calibri"/>
          <w:b/>
          <w:bCs/>
          <w:color w:val="1f2937"/>
          <w:sz w:val="34"/>
          <w:szCs w:val="34"/>
        </w:rPr>
        <w:t xml:space="preserve">Phase 2 — Exploration</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Interrogate.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applied investigation through the team-selected case anchor.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the team's chosen case is the central object; everything routes through it.</w:t>
      </w:r>
    </w:p>
    <w:p>
      <w:pPr>
        <w:spacing w:after="120"/>
      </w:pPr>
      <w:r>
        <w:rPr>
          <w:rFonts w:ascii="Calibri" w:cs="Calibri" w:eastAsia="Calibri" w:hAnsi="Calibri"/>
          <w:color w:val="222222"/>
          <w:sz w:val="22"/>
          <w:szCs w:val="22"/>
        </w:rPr>
        <w:t xml:space="preserve">The cognitively heaviest phase. The Phase 1 content gets bent toward specific cases. By end of Phase 2 each team holds a defensible diagnosis of the disparity, grounded in primary-source data, with a persuasive argument drafted for a named audience.</w:t>
      </w:r>
    </w:p>
    <w:p>
      <w:pPr>
        <w:pStyle w:val="Heading2"/>
        <w:spacing w:after="100" w:before="260"/>
      </w:pPr>
      <w:r>
        <w:rPr>
          <w:rFonts w:ascii="Calibri" w:cs="Calibri" w:eastAsia="Calibri" w:hAnsi="Calibri"/>
          <w:b/>
          <w:bCs/>
          <w:color w:val="c2410c"/>
          <w:sz w:val="26"/>
          <w:szCs w:val="26"/>
        </w:rPr>
        <w:t xml:space="preserve">Science (Biology and genetics)</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humans used (MS-LS4-5, out-of-file)</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and the approximate generational timeline (MS-LS4-5, out-of-file)</w:t>
      </w:r>
    </w:p>
    <w:p>
      <w:pPr>
        <w:pStyle w:val="ListParagraph"/>
        <w:numPr>
          <w:ilvl w:val="0"/>
          <w:numId w:val="2"/>
        </w:numPr>
        <w:spacing w:after="40"/>
      </w:pPr>
      <w:r>
        <w:rPr>
          <w:rFonts w:ascii="Calibri" w:cs="Calibri" w:eastAsia="Calibri" w:hAnsi="Calibri"/>
          <w:color w:val="222222"/>
          <w:sz w:val="22"/>
          <w:szCs w:val="22"/>
        </w:rPr>
        <w:t xml:space="preserve">Use a documented selective-breeding case study to argue that domestication is itself a heritable trait set (MS-LS4-5, out-of-file)</w:t>
      </w:r>
    </w:p>
    <w:p>
      <w:pPr>
        <w:pStyle w:val="Heading2"/>
        <w:spacing w:after="100" w:before="260"/>
      </w:pPr>
      <w:r>
        <w:rPr>
          <w:rFonts w:ascii="Calibri" w:cs="Calibri" w:eastAsia="Calibri" w:hAnsi="Calibri"/>
          <w:b/>
          <w:bCs/>
          <w:color w:val="c2410c"/>
          <w:sz w:val="26"/>
          <w:szCs w:val="26"/>
        </w:rPr>
        <w:t xml:space="preserve">Mathematics</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a per-category rate as a unit rate (6.RP.A.2)</w:t>
      </w:r>
    </w:p>
    <w:p>
      <w:pPr>
        <w:pStyle w:val="ListParagraph"/>
        <w:numPr>
          <w:ilvl w:val="0"/>
          <w:numId w:val="2"/>
        </w:numPr>
        <w:spacing w:after="40"/>
      </w:pPr>
      <w:r>
        <w:rPr>
          <w:rFonts w:ascii="Calibri" w:cs="Calibri" w:eastAsia="Calibri" w:hAnsi="Calibri"/>
          <w:color w:val="222222"/>
          <w:sz w:val="22"/>
          <w:szCs w:val="22"/>
        </w:rPr>
        <w:t xml:space="preserve">Calculate a single case's value and compare it to the category average (6.SP.B.5)</w:t>
      </w:r>
    </w:p>
    <w:p>
      <w:pPr>
        <w:pStyle w:val="ListParagraph"/>
        <w:numPr>
          <w:ilvl w:val="0"/>
          <w:numId w:val="2"/>
        </w:numPr>
        <w:spacing w:after="40"/>
      </w:pPr>
      <w:r>
        <w:rPr>
          <w:rFonts w:ascii="Calibri" w:cs="Calibri" w:eastAsia="Calibri" w:hAnsi="Calibri"/>
          <w:color w:val="222222"/>
          <w:sz w:val="22"/>
          <w:szCs w:val="22"/>
        </w:rPr>
        <w:t xml:space="preserve">Calculate the unit cost of two comparable consumer categories and identify which is higher (6.RP.A.2)</w:t>
      </w:r>
    </w:p>
    <w:p>
      <w:pPr>
        <w:pStyle w:val="ListParagraph"/>
        <w:numPr>
          <w:ilvl w:val="0"/>
          <w:numId w:val="2"/>
        </w:numPr>
        <w:spacing w:after="40"/>
      </w:pPr>
      <w:r>
        <w:rPr>
          <w:rFonts w:ascii="Calibri" w:cs="Calibri" w:eastAsia="Calibri" w:hAnsi="Calibri"/>
          <w:color w:val="222222"/>
          <w:sz w:val="22"/>
          <w:szCs w:val="22"/>
        </w:rPr>
        <w:t xml:space="preserve">Calculate the response rate for each A/B test variant (6.RP.A.3)</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median, range, and interquartile range of values across a team's selected sample (7.SP.B.4)</w:t>
      </w:r>
    </w:p>
    <w:p>
      <w:pPr>
        <w:pStyle w:val="ListParagraph"/>
        <w:numPr>
          <w:ilvl w:val="0"/>
          <w:numId w:val="2"/>
        </w:numPr>
        <w:spacing w:after="40"/>
      </w:pPr>
      <w:r>
        <w:rPr>
          <w:rFonts w:ascii="Calibri" w:cs="Calibri" w:eastAsia="Calibri" w:hAnsi="Calibri"/>
          <w:color w:val="222222"/>
          <w:sz w:val="22"/>
          <w:szCs w:val="22"/>
        </w:rPr>
        <w:t xml:space="preserve">Calculate the lifetime cost of two comparable consumer categories using proportional reasoning and identify which is higher (7.RP.A.2, 7.RP.A.3)</w:t>
      </w:r>
    </w:p>
    <w:p>
      <w:pPr>
        <w:pStyle w:val="ListParagraph"/>
        <w:numPr>
          <w:ilvl w:val="0"/>
          <w:numId w:val="2"/>
        </w:numPr>
        <w:spacing w:after="40"/>
      </w:pPr>
      <w:r>
        <w:rPr>
          <w:rFonts w:ascii="Calibri" w:cs="Calibri" w:eastAsia="Calibri" w:hAnsi="Calibri"/>
          <w:color w:val="222222"/>
          <w:sz w:val="22"/>
          <w:szCs w:val="22"/>
        </w:rPr>
        <w:t xml:space="preserve">Determine whether the difference between A/B response rates is a real effect or sample noise (7.SP.A.2)</w:t>
      </w:r>
    </w:p>
    <w:p>
      <w:pPr>
        <w:pStyle w:val="ListParagraph"/>
        <w:numPr>
          <w:ilvl w:val="0"/>
          <w:numId w:val="2"/>
        </w:numPr>
        <w:spacing w:after="40"/>
      </w:pPr>
      <w:r>
        <w:rPr>
          <w:rFonts w:ascii="Calibri" w:cs="Calibri" w:eastAsia="Calibri" w:hAnsi="Calibri"/>
          <w:color w:val="222222"/>
          <w:sz w:val="22"/>
          <w:szCs w:val="22"/>
        </w:rPr>
        <w:t xml:space="preserve">Project additional monthly outcomes at varying lift rates (7.RP.A.2)</w:t>
      </w:r>
    </w:p>
    <w:p>
      <w:pPr>
        <w:pStyle w:val="Heading2"/>
        <w:spacing w:after="100" w:before="260"/>
      </w:pPr>
      <w:r>
        <w:rPr>
          <w:rFonts w:ascii="Calibri" w:cs="Calibri" w:eastAsia="Calibri" w:hAnsi="Calibri"/>
          <w:b/>
          <w:bCs/>
          <w:color w:val="c2410c"/>
          <w:sz w:val="26"/>
          <w:szCs w:val="26"/>
        </w:rPr>
        <w:t xml:space="preserve">ELA (persuasion and critical evaluation)</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addressing one named audience member, with claim, counterclaim, reasoning, and evidence (W.AW.6.1)</w:t>
      </w:r>
    </w:p>
    <w:p>
      <w:pPr>
        <w:pStyle w:val="ListParagraph"/>
        <w:numPr>
          <w:ilvl w:val="0"/>
          <w:numId w:val="2"/>
        </w:numPr>
        <w:spacing w:after="40"/>
      </w:pPr>
      <w:r>
        <w:rPr>
          <w:rFonts w:ascii="Calibri" w:cs="Calibri" w:eastAsia="Calibri" w:hAnsi="Calibri"/>
          <w:color w:val="222222"/>
          <w:sz w:val="22"/>
          <w:szCs w:val="22"/>
        </w:rPr>
        <w:t xml:space="preserve">Deliver an oral pitch to a named audience member proposing a specific course of action (SL.PI.6.4)</w:t>
      </w:r>
    </w:p>
    <w:p>
      <w:pPr>
        <w:pStyle w:val="ListParagraph"/>
        <w:numPr>
          <w:ilvl w:val="0"/>
          <w:numId w:val="2"/>
        </w:numPr>
        <w:spacing w:after="40"/>
      </w:pPr>
      <w:r>
        <w:rPr>
          <w:rFonts w:ascii="Calibri" w:cs="Calibri" w:eastAsia="Calibri" w:hAnsi="Calibri"/>
          <w:color w:val="222222"/>
          <w:sz w:val="22"/>
          <w:szCs w:val="22"/>
        </w:rPr>
        <w:t xml:space="preserve">Rewrite a generic listing for a specific target-audience profile (W.IW.6.2, W.WP.6.4)</w:t>
      </w:r>
    </w:p>
    <w:p>
      <w:pPr>
        <w:pStyle w:val="ListParagraph"/>
        <w:numPr>
          <w:ilvl w:val="0"/>
          <w:numId w:val="2"/>
        </w:numPr>
        <w:spacing w:after="40"/>
      </w:pPr>
      <w:r>
        <w:rPr>
          <w:rFonts w:ascii="Calibri" w:cs="Calibri" w:eastAsia="Calibri" w:hAnsi="Calibri"/>
          <w:color w:val="222222"/>
          <w:sz w:val="22"/>
          <w:szCs w:val="22"/>
        </w:rPr>
        <w:t xml:space="preserve">Determine whether a stated stakeholder concern is evidence-supported or bias-driven, using partner-supplied data as the check (RI.CR.6.1)</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with claim, counterclaim, reasoning, and evidence, anticipating and answering the strongest opposing position (W.AW.7.1, W.AW.8.1)</w:t>
      </w:r>
    </w:p>
    <w:p>
      <w:pPr>
        <w:pStyle w:val="ListParagraph"/>
        <w:numPr>
          <w:ilvl w:val="0"/>
          <w:numId w:val="2"/>
        </w:numPr>
        <w:spacing w:after="40"/>
      </w:pPr>
      <w:r>
        <w:rPr>
          <w:rFonts w:ascii="Calibri" w:cs="Calibri" w:eastAsia="Calibri" w:hAnsi="Calibri"/>
          <w:color w:val="222222"/>
          <w:sz w:val="22"/>
          <w:szCs w:val="22"/>
        </w:rPr>
        <w:t xml:space="preserve">Adapt the same persuasive argument across three channels and explain why each adaptation fits its channel (W.AW.8.1, W.WP.8.4)</w:t>
      </w:r>
    </w:p>
    <w:p>
      <w:pPr>
        <w:pStyle w:val="ListParagraph"/>
        <w:numPr>
          <w:ilvl w:val="0"/>
          <w:numId w:val="2"/>
        </w:numPr>
        <w:spacing w:after="40"/>
      </w:pPr>
      <w:r>
        <w:rPr>
          <w:rFonts w:ascii="Calibri" w:cs="Calibri" w:eastAsia="Calibri" w:hAnsi="Calibri"/>
          <w:color w:val="222222"/>
          <w:sz w:val="22"/>
          <w:szCs w:val="22"/>
        </w:rPr>
        <w:t xml:space="preserve">Distinguish a legitimate stakeholder objection from stigma by analyzing per-instance and per-category primary-source data (RI.CR.7.1)</w:t>
      </w:r>
    </w:p>
    <w:p>
      <w:pPr>
        <w:pStyle w:val="ListParagraph"/>
        <w:numPr>
          <w:ilvl w:val="0"/>
          <w:numId w:val="2"/>
        </w:numPr>
        <w:spacing w:after="40"/>
      </w:pPr>
      <w:r>
        <w:rPr>
          <w:rFonts w:ascii="Calibri" w:cs="Calibri" w:eastAsia="Calibri" w:hAnsi="Calibri"/>
          <w:color w:val="222222"/>
          <w:sz w:val="22"/>
          <w:szCs w:val="22"/>
        </w:rPr>
        <w:t xml:space="preserve">Deconstruct a speaker's argument and evaluate whether the reasoning is sound (SL.ES.7.3, SL.ES.8.3)</w:t>
      </w:r>
    </w:p>
    <w:p>
      <w:pPr>
        <w:pStyle w:val="Heading2"/>
        <w:spacing w:after="100" w:before="260"/>
      </w:pPr>
      <w:r>
        <w:rPr>
          <w:rFonts w:ascii="Calibri" w:cs="Calibri" w:eastAsia="Calibri" w:hAnsi="Calibri"/>
          <w:b/>
          <w:bCs/>
          <w:color w:val="c2410c"/>
          <w:sz w:val="26"/>
          <w:szCs w:val="26"/>
        </w:rPr>
        <w:t xml:space="preserve">Social studies and civic context</w:t>
      </w:r>
    </w:p>
    <w:p>
      <w:pPr>
        <w:spacing w:after="120"/>
      </w:pPr>
      <w:r>
        <w:rPr>
          <w:rFonts w:ascii="Calibri" w:cs="Calibri" w:eastAsia="Calibri" w:hAnsi="Calibri"/>
          <w:color w:val="222222"/>
          <w:sz w:val="22"/>
          <w:szCs w:val="22"/>
        </w:rPr>
        <w:t xml:space="preserve">The legislation, residential-restrictions, and operational-practices topics from Phase 1 surface here as evidence sources for the team's interrogation. No new content-area-specific learning objectives.</w:t>
      </w:r>
    </w:p>
    <w:p>
      <w:pPr>
        <w:pStyle w:val="Heading2"/>
        <w:spacing w:after="100" w:before="260"/>
      </w:pPr>
      <w:r>
        <w:rPr>
          <w:rFonts w:ascii="Calibri" w:cs="Calibri" w:eastAsia="Calibri" w:hAnsi="Calibri"/>
          <w:b/>
          <w:bCs/>
          <w:color w:val="c2410c"/>
          <w:sz w:val="26"/>
          <w:szCs w:val="26"/>
        </w:rPr>
        <w:t xml:space="preserve">Marketing and communication</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Test the effectiveness of two persuasive variants using A/B response rates and proportional reasoning (7.RP.A.3, 7.SP.A.2)</w:t>
      </w:r>
    </w:p>
    <w:p>
      <w:pPr>
        <w:spacing w:after="120"/>
      </w:pPr>
      <w:r>
        <w:rPr>
          <w:rFonts w:ascii="Calibri" w:cs="Calibri" w:eastAsia="Calibri" w:hAnsi="Calibri"/>
          <w:color w:val="222222"/>
          <w:sz w:val="22"/>
          <w:szCs w:val="22"/>
        </w:rPr>
        <w:t xml:space="preserve">Juniors (G5/G6): the channel-adaptation and A/B work is folded into the ELA persuasion arc above.</w:t>
      </w:r>
    </w:p>
    <w:p>
      <w:pPr>
        <w:pStyle w:val="Heading2"/>
        <w:spacing w:after="100" w:before="260"/>
      </w:pPr>
      <w:r>
        <w:rPr>
          <w:rFonts w:ascii="Calibri" w:cs="Calibri" w:eastAsia="Calibri" w:hAnsi="Calibri"/>
          <w:b/>
          <w:bCs/>
          <w:color w:val="c2410c"/>
          <w:sz w:val="26"/>
          <w:szCs w:val="26"/>
        </w:rPr>
        <w:t xml:space="preserve">Cognitive and meta-skills</w:t>
      </w:r>
    </w:p>
    <w:p>
      <w:pPr>
        <w:spacing w:after="120"/>
      </w:pPr>
      <w:r>
        <w:rPr>
          <w:rFonts w:ascii="Calibri" w:cs="Calibri" w:eastAsia="Calibri" w:hAnsi="Calibri"/>
          <w:color w:val="222222"/>
          <w:sz w:val="22"/>
          <w:szCs w:val="22"/>
        </w:rPr>
        <w:t xml:space="preserve">Both cohorts: hypothesis formation from partner-supplied data; bias recognition and naming; critical evaluation of one's own starting assumptions. These run throughout Phase 2 but are not standalone objectives; they are habits the Phase 2 work develops.</w:t>
      </w:r>
    </w:p>
    <w:p>
      <w:pPr>
        <w:pStyle w:val="Heading1"/>
        <w:spacing w:after="100" w:before="400"/>
      </w:pPr>
      <w:r>
        <w:rPr>
          <w:rFonts w:ascii="Calibri" w:cs="Calibri" w:eastAsia="Calibri" w:hAnsi="Calibri"/>
          <w:b/>
          <w:bCs/>
          <w:color w:val="1f2937"/>
          <w:sz w:val="34"/>
          <w:szCs w:val="34"/>
        </w:rPr>
        <w:t xml:space="preserve">Phase 3 — Presentation</w:t>
      </w:r>
    </w:p>
    <w:p>
      <w:pPr>
        <w:spacing w:after="200"/>
      </w:pPr>
      <w:r>
        <w:rPr>
          <w:rFonts w:ascii="Calibri" w:cs="Calibri" w:eastAsia="Calibri" w:hAnsi="Calibri"/>
          <w:b/>
          <w:bCs/>
          <w:color w:val="595959"/>
          <w:sz w:val="20"/>
          <w:szCs w:val="20"/>
        </w:rPr>
        <w:t xml:space="preserve">Phase verb: </w:t>
      </w:r>
      <w:r>
        <w:rPr>
          <w:rFonts w:ascii="Calibri" w:cs="Calibri" w:eastAsia="Calibri" w:hAnsi="Calibri"/>
          <w:color w:val="222222"/>
          <w:sz w:val="20"/>
          <w:szCs w:val="20"/>
        </w:rPr>
        <w:t xml:space="preserve">Build / Act.  </w:t>
      </w:r>
      <w:r>
        <w:rPr>
          <w:rFonts w:ascii="Calibri" w:cs="Calibri" w:eastAsia="Calibri" w:hAnsi="Calibri"/>
          <w:b/>
          <w:bCs/>
          <w:color w:val="595959"/>
          <w:sz w:val="20"/>
          <w:szCs w:val="20"/>
        </w:rPr>
        <w:t xml:space="preserve">Mode: </w:t>
      </w:r>
      <w:r>
        <w:rPr>
          <w:rFonts w:ascii="Calibri" w:cs="Calibri" w:eastAsia="Calibri" w:hAnsi="Calibri"/>
          <w:color w:val="222222"/>
          <w:sz w:val="20"/>
          <w:szCs w:val="20"/>
        </w:rPr>
        <w:t xml:space="preserve">partner-facing deliverable + individual transfer assessment.  </w:t>
      </w:r>
      <w:r>
        <w:rPr>
          <w:rFonts w:ascii="Calibri" w:cs="Calibri" w:eastAsia="Calibri" w:hAnsi="Calibri"/>
          <w:b/>
          <w:bCs/>
          <w:color w:val="595959"/>
          <w:sz w:val="20"/>
          <w:szCs w:val="20"/>
        </w:rPr>
        <w:t xml:space="preserve">Anchor: </w:t>
      </w:r>
      <w:r>
        <w:rPr>
          <w:rFonts w:ascii="Calibri" w:cs="Calibri" w:eastAsia="Calibri" w:hAnsi="Calibri"/>
          <w:color w:val="222222"/>
          <w:sz w:val="20"/>
          <w:szCs w:val="20"/>
        </w:rPr>
        <w:t xml:space="preserve">the campaign and the per-student oral defense.</w:t>
      </w:r>
    </w:p>
    <w:p>
      <w:pPr>
        <w:spacing w:after="50" w:before="140"/>
      </w:pPr>
      <w:r>
        <w:rPr>
          <w:rFonts w:ascii="Calibri" w:cs="Calibri" w:eastAsia="Calibri" w:hAnsi="Calibri"/>
          <w:b/>
          <w:bCs/>
          <w:color w:val="3a6b65"/>
          <w:sz w:val="20"/>
          <w:szCs w:val="20"/>
        </w:rPr>
        <w:t xml:space="preserve">Deliverables produced in this phase</w:t>
      </w:r>
    </w:p>
    <w:p>
      <w:pPr>
        <w:pStyle w:val="ListParagraph"/>
        <w:numPr>
          <w:ilvl w:val="0"/>
          <w:numId w:val="2"/>
        </w:numPr>
        <w:spacing w:after="40"/>
      </w:pPr>
      <w:r>
        <w:rPr>
          <w:rFonts w:ascii="Calibri" w:cs="Calibri" w:eastAsia="Calibri" w:hAnsi="Calibri"/>
          <w:color w:val="222222"/>
          <w:sz w:val="22"/>
          <w:szCs w:val="22"/>
        </w:rPr>
        <w:t xml:space="preserve">Team campaign (assets, brand, channel-specific adaptations, pitch to the partner)</w:t>
      </w:r>
    </w:p>
    <w:p>
      <w:pPr>
        <w:pStyle w:val="ListParagraph"/>
        <w:numPr>
          <w:ilvl w:val="0"/>
          <w:numId w:val="2"/>
        </w:numPr>
        <w:spacing w:after="40"/>
      </w:pPr>
      <w:r>
        <w:rPr>
          <w:rFonts w:ascii="Calibri" w:cs="Calibri" w:eastAsia="Calibri" w:hAnsi="Calibri"/>
          <w:color w:val="222222"/>
          <w:sz w:val="22"/>
          <w:szCs w:val="22"/>
        </w:rPr>
        <w:t xml:space="preserve">Individual oral defense on a case the student has not researched (Cold Transfer Task)</w:t>
      </w:r>
    </w:p>
    <w:p>
      <w:pPr>
        <w:pStyle w:val="ListParagraph"/>
        <w:numPr>
          <w:ilvl w:val="0"/>
          <w:numId w:val="2"/>
        </w:numPr>
        <w:spacing w:after="40"/>
      </w:pPr>
      <w:r>
        <w:rPr>
          <w:rFonts w:ascii="Calibri" w:cs="Calibri" w:eastAsia="Calibri" w:hAnsi="Calibri"/>
          <w:color w:val="222222"/>
          <w:sz w:val="22"/>
          <w:szCs w:val="22"/>
        </w:rPr>
        <w:t xml:space="preserve">Optional partner-facing event (drive, education campaign, operational audit recommendation)</w:t>
      </w:r>
    </w:p>
    <w:p>
      <w:pPr>
        <w:pStyle w:val="Heading2"/>
        <w:spacing w:after="100" w:before="260"/>
      </w:pPr>
      <w:r>
        <w:rPr>
          <w:rFonts w:ascii="Calibri" w:cs="Calibri" w:eastAsia="Calibri" w:hAnsi="Calibri"/>
          <w:b/>
          <w:bCs/>
          <w:color w:val="c2410c"/>
          <w:sz w:val="26"/>
          <w:szCs w:val="26"/>
        </w:rPr>
        <w:t xml:space="preserve">Science (Biology and genetics)</w:t>
      </w:r>
    </w:p>
    <w:p>
      <w:pPr>
        <w:spacing w:after="120"/>
      </w:pPr>
      <w:r>
        <w:rPr>
          <w:rFonts w:ascii="Calibri" w:cs="Calibri" w:eastAsia="Calibri" w:hAnsi="Calibri"/>
          <w:color w:val="222222"/>
          <w:sz w:val="22"/>
          <w:szCs w:val="22"/>
        </w:rPr>
        <w:t xml:space="preserve">Retrieve only. The Phase 1 and 2 genetics work appears in how the team describes their chosen case in the campaign (breed traits, working history, what was selected for). No new genetics objectives fire.</w:t>
      </w:r>
    </w:p>
    <w:p>
      <w:pPr>
        <w:pStyle w:val="Heading2"/>
        <w:spacing w:after="100" w:before="260"/>
      </w:pPr>
      <w:r>
        <w:rPr>
          <w:rFonts w:ascii="Calibri" w:cs="Calibri" w:eastAsia="Calibri" w:hAnsi="Calibri"/>
          <w:b/>
          <w:bCs/>
          <w:color w:val="c2410c"/>
          <w:sz w:val="26"/>
          <w:szCs w:val="26"/>
        </w:rPr>
        <w:t xml:space="preserve">Mathematics</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Apply a calculation from the analysis phase to defend a recommendation in the individual transfer assessment (6.SP.B.5 applied)</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Apply a per-instance calculation to defend a recommendation in the individual transfer assessment (7.RP.A.3 applied)</w:t>
      </w:r>
    </w:p>
    <w:p>
      <w:pPr>
        <w:pStyle w:val="Heading2"/>
        <w:spacing w:after="100" w:before="260"/>
      </w:pPr>
      <w:r>
        <w:rPr>
          <w:rFonts w:ascii="Calibri" w:cs="Calibri" w:eastAsia="Calibri" w:hAnsi="Calibri"/>
          <w:b/>
          <w:bCs/>
          <w:color w:val="c2410c"/>
          <w:sz w:val="26"/>
          <w:szCs w:val="26"/>
        </w:rPr>
        <w:t xml:space="preserve">ELA (persuasion and critical evaluation)</w:t>
      </w:r>
    </w:p>
    <w:p>
      <w:pPr>
        <w:spacing w:after="50" w:before="140"/>
      </w:pPr>
      <w:r>
        <w:rPr>
          <w:rFonts w:ascii="Calibri" w:cs="Calibri" w:eastAsia="Calibri" w:hAnsi="Calibri"/>
          <w:b/>
          <w:bCs/>
          <w:color w:val="3a6b65"/>
          <w:sz w:val="20"/>
          <w:szCs w:val="20"/>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Present claims and findings to an audience, sequencing ideas logically using facts and details (SL.PI.6.4)</w:t>
      </w:r>
    </w:p>
    <w:p>
      <w:pPr>
        <w:spacing w:after="50" w:before="140"/>
      </w:pPr>
      <w:r>
        <w:rPr>
          <w:rFonts w:ascii="Calibri" w:cs="Calibri" w:eastAsia="Calibri" w:hAnsi="Calibri"/>
          <w:b/>
          <w:bCs/>
          <w:color w:val="3a6b65"/>
          <w:sz w:val="20"/>
          <w:szCs w:val="20"/>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Present claims and findings, emphasizing salient points with relevant evidence, sound reasoning, and well-chosen details (SL.PI.8.4)</w:t>
      </w:r>
    </w:p>
    <w:p>
      <w:pPr>
        <w:spacing w:after="120"/>
      </w:pPr>
      <w:r>
        <w:rPr>
          <w:rFonts w:ascii="Calibri" w:cs="Calibri" w:eastAsia="Calibri" w:hAnsi="Calibri"/>
          <w:color w:val="222222"/>
          <w:sz w:val="22"/>
          <w:szCs w:val="22"/>
        </w:rPr>
        <w:t xml:space="preserve">The critical-evaluation closer (CTT) fires here: all four critical-evaluation objectives from Phases 1 and 2 get tested in the individual oral defense, applied to a case the student has not researched.</w:t>
      </w:r>
    </w:p>
    <w:p>
      <w:pPr>
        <w:pStyle w:val="Heading2"/>
        <w:spacing w:after="100" w:before="260"/>
      </w:pPr>
      <w:r>
        <w:rPr>
          <w:rFonts w:ascii="Calibri" w:cs="Calibri" w:eastAsia="Calibri" w:hAnsi="Calibri"/>
          <w:b/>
          <w:bCs/>
          <w:color w:val="c2410c"/>
          <w:sz w:val="26"/>
          <w:szCs w:val="26"/>
        </w:rPr>
        <w:t xml:space="preserve">Social studies and civic context</w:t>
      </w:r>
    </w:p>
    <w:p>
      <w:pPr>
        <w:spacing w:after="120"/>
      </w:pPr>
      <w:r>
        <w:rPr>
          <w:rFonts w:ascii="Calibri" w:cs="Calibri" w:eastAsia="Calibri" w:hAnsi="Calibri"/>
          <w:color w:val="222222"/>
          <w:sz w:val="22"/>
          <w:szCs w:val="22"/>
        </w:rPr>
        <w:t xml:space="preserve">The partner-operations recommendation, if the team includes one, is built in this phase. No new content-area-specific learning objectives.</w:t>
      </w:r>
    </w:p>
    <w:p>
      <w:pPr>
        <w:pStyle w:val="Heading2"/>
        <w:spacing w:after="100" w:before="260"/>
      </w:pPr>
      <w:r>
        <w:rPr>
          <w:rFonts w:ascii="Calibri" w:cs="Calibri" w:eastAsia="Calibri" w:hAnsi="Calibri"/>
          <w:b/>
          <w:bCs/>
          <w:color w:val="c2410c"/>
          <w:sz w:val="26"/>
          <w:szCs w:val="26"/>
        </w:rPr>
        <w:t xml:space="preserve">Marketing and communication</w:t>
      </w:r>
    </w:p>
    <w:p>
      <w:pPr>
        <w:spacing w:after="120"/>
      </w:pPr>
      <w:r>
        <w:rPr>
          <w:rFonts w:ascii="Calibri" w:cs="Calibri" w:eastAsia="Calibri" w:hAnsi="Calibri"/>
          <w:color w:val="222222"/>
          <w:sz w:val="22"/>
          <w:szCs w:val="22"/>
        </w:rPr>
        <w:t xml:space="preserve">Campaign delivery happens here. The team's chosen channel mix from Phase 2 gets executed. No new content-area-specific learning objectives; the work is application of Phase 2 objectives at scale.</w:t>
      </w:r>
    </w:p>
    <w:p>
      <w:pPr>
        <w:pStyle w:val="Heading2"/>
        <w:spacing w:after="100" w:before="260"/>
      </w:pPr>
      <w:r>
        <w:rPr>
          <w:rFonts w:ascii="Calibri" w:cs="Calibri" w:eastAsia="Calibri" w:hAnsi="Calibri"/>
          <w:b/>
          <w:bCs/>
          <w:color w:val="c2410c"/>
          <w:sz w:val="26"/>
          <w:szCs w:val="26"/>
        </w:rPr>
        <w:t xml:space="preserve">Cognitive and meta-skills</w:t>
      </w:r>
    </w:p>
    <w:p>
      <w:pPr>
        <w:spacing w:after="120"/>
      </w:pPr>
      <w:r>
        <w:rPr>
          <w:rFonts w:ascii="Calibri" w:cs="Calibri" w:eastAsia="Calibri" w:hAnsi="Calibri"/>
          <w:color w:val="222222"/>
          <w:sz w:val="22"/>
          <w:szCs w:val="22"/>
        </w:rPr>
        <w:t xml:space="preserve">The CTT tests these in the oral defense. No new objectives fire.</w:t>
      </w:r>
    </w:p>
    <w:p>
      <w:pPr>
        <w:pStyle w:val="Heading1"/>
        <w:spacing w:after="100" w:before="400"/>
      </w:pPr>
      <w:r>
        <w:rPr>
          <w:rFonts w:ascii="Calibri" w:cs="Calibri" w:eastAsia="Calibri" w:hAnsi="Calibri"/>
          <w:b/>
          <w:bCs/>
          <w:color w:val="1f2937"/>
          <w:sz w:val="34"/>
          <w:szCs w:val="34"/>
        </w:rPr>
        <w:t xml:space="preserve">Prerequisites (pre-Day 1)</w:t>
      </w:r>
    </w:p>
    <w:p>
      <w:pPr>
        <w:spacing w:after="120"/>
      </w:pPr>
      <w:r>
        <w:rPr>
          <w:rFonts w:ascii="Calibri" w:cs="Calibri" w:eastAsia="Calibri" w:hAnsi="Calibri"/>
          <w:color w:val="222222"/>
          <w:sz w:val="22"/>
          <w:szCs w:val="22"/>
        </w:rPr>
        <w:t xml:space="preserve">What students walk in with. Carries forward unchanged from the source template:</w:t>
      </w:r>
    </w:p>
    <w:p>
      <w:pPr>
        <w:pStyle w:val="ListParagraph"/>
        <w:numPr>
          <w:ilvl w:val="0"/>
          <w:numId w:val="2"/>
        </w:numPr>
        <w:spacing w:after="40"/>
      </w:pPr>
      <w:r>
        <w:rPr>
          <w:rFonts w:ascii="Calibri" w:cs="Calibri" w:eastAsia="Calibri" w:hAnsi="Calibri"/>
          <w:color w:val="222222"/>
          <w:sz w:val="22"/>
          <w:szCs w:val="22"/>
        </w:rPr>
        <w:t xml:space="preserve">5th-grade math floor for Juniors, 6th-grade math floor for Seniors</w:t>
      </w:r>
    </w:p>
    <w:p>
      <w:pPr>
        <w:pStyle w:val="ListParagraph"/>
        <w:numPr>
          <w:ilvl w:val="0"/>
          <w:numId w:val="2"/>
        </w:numPr>
        <w:spacing w:after="40"/>
      </w:pPr>
      <w:r>
        <w:rPr>
          <w:rFonts w:ascii="Calibri" w:cs="Calibri" w:eastAsia="Calibri" w:hAnsi="Calibri"/>
          <w:color w:val="222222"/>
          <w:sz w:val="22"/>
          <w:szCs w:val="22"/>
        </w:rPr>
        <w:t xml:space="preserve">ELA prerequisites per cohort (W.AW.5.1, RI.CR, RI.AA, SL.PI, W.SE)</w:t>
      </w:r>
    </w:p>
    <w:p>
      <w:pPr>
        <w:pStyle w:val="ListParagraph"/>
        <w:numPr>
          <w:ilvl w:val="0"/>
          <w:numId w:val="2"/>
        </w:numPr>
        <w:spacing w:after="40"/>
      </w:pPr>
      <w:r>
        <w:rPr>
          <w:rFonts w:ascii="Calibri" w:cs="Calibri" w:eastAsia="Calibri" w:hAnsi="Calibri"/>
          <w:color w:val="222222"/>
          <w:sz w:val="22"/>
          <w:szCs w:val="22"/>
        </w:rPr>
        <w:t xml:space="preserve">Science prerequisites per cohort (life-science vocabulary, parent-offspring transmission)</w:t>
      </w:r>
    </w:p>
    <w:p>
      <w:pPr>
        <w:pStyle w:val="ListParagraph"/>
        <w:numPr>
          <w:ilvl w:val="0"/>
          <w:numId w:val="2"/>
        </w:numPr>
        <w:spacing w:after="40"/>
      </w:pPr>
      <w:r>
        <w:rPr>
          <w:rFonts w:ascii="Calibri" w:cs="Calibri" w:eastAsia="Calibri" w:hAnsi="Calibri"/>
          <w:color w:val="222222"/>
          <w:sz w:val="22"/>
          <w:szCs w:val="22"/>
        </w:rPr>
        <w:t xml:space="preserve">Cognitive and academic prerequisites (team work, sustained writing, multi-step task following)</w:t>
      </w:r>
    </w:p>
    <w:p>
      <w:pPr>
        <w:pStyle w:val="ListParagraph"/>
        <w:numPr>
          <w:ilvl w:val="0"/>
          <w:numId w:val="2"/>
        </w:numPr>
        <w:spacing w:after="40"/>
      </w:pPr>
      <w:r>
        <w:rPr>
          <w:rFonts w:ascii="Calibri" w:cs="Calibri" w:eastAsia="Calibri" w:hAnsi="Calibri"/>
          <w:color w:val="222222"/>
          <w:sz w:val="22"/>
          <w:szCs w:val="22"/>
        </w:rPr>
        <w:t xml:space="preserve">Domain prerequisites (partner-institution familiarity, partner-domain vocabulary)</w:t>
      </w:r>
    </w:p>
    <w:p>
      <w:pPr>
        <w:pBdr>
          <w:bottom w:val="single" w:color="c2410c" w:sz="6" w:space="1"/>
        </w:pBdr>
        <w:spacing w:after="60" w:before="60"/>
      </w:pPr>
    </w:p>
    <w:p>
      <w:pPr>
        <w:pStyle w:val="Heading1"/>
        <w:spacing w:after="100" w:before="400"/>
      </w:pPr>
      <w:r>
        <w:rPr>
          <w:rFonts w:ascii="Calibri" w:cs="Calibri" w:eastAsia="Calibri" w:hAnsi="Calibri"/>
          <w:b/>
          <w:bCs/>
          <w:color w:val="1f2937"/>
          <w:sz w:val="34"/>
          <w:szCs w:val="34"/>
        </w:rPr>
        <w:t xml:space="preserve">Four flags worth knowing about the phase placements</w:t>
      </w:r>
    </w:p>
    <w:p>
      <w:pPr>
        <w:spacing w:after="120"/>
      </w:pPr>
      <w:r>
        <w:rPr>
          <w:rFonts w:ascii="Calibri" w:cs="Calibri" w:eastAsia="Calibri" w:hAnsi="Calibri"/>
          <w:color w:val="222222"/>
          <w:sz w:val="22"/>
          <w:szCs w:val="22"/>
        </w:rPr>
        <w:t xml:space="preserve">The Critical-evaluation Juniors objectives all sit in Preparation. Preparation comes out heavy for Juniors. If Preparation is meant to be lighter for the younger cohort, "Identify the opposing claim" could move into the start of Exploration where students apply it to their case.</w:t>
      </w:r>
    </w:p>
    <w:p>
      <w:pPr>
        <w:spacing w:after="120"/>
      </w:pPr>
      <w:r>
        <w:rPr>
          <w:rFonts w:ascii="Calibri" w:cs="Calibri" w:eastAsia="Calibri" w:hAnsi="Calibri"/>
          <w:color w:val="222222"/>
          <w:sz w:val="22"/>
          <w:szCs w:val="22"/>
        </w:rPr>
        <w:t xml:space="preserve">The Genetics work essentially completes by end of Phase 1 (foundation + Punnett) and Phase 2 (trace + case study). Phase 3 carries no new Genetics objectives. Intentional — genetics is the science foundation that appears in narrative not in new science work — but worth confirming you want that arc to close before Presentation.</w:t>
      </w:r>
    </w:p>
    <w:p>
      <w:pPr>
        <w:spacing w:after="120"/>
      </w:pPr>
      <w:r>
        <w:rPr>
          <w:rFonts w:ascii="Calibri" w:cs="Calibri" w:eastAsia="Calibri" w:hAnsi="Calibri"/>
          <w:color w:val="222222"/>
          <w:sz w:val="22"/>
          <w:szCs w:val="22"/>
        </w:rPr>
        <w:t xml:space="preserve">Marketing and communication is largely Senior-only at the objective level. Juniors get the A/B-testing and channel-adaptation work folded into ELA persuasion. If Marketing should be a separate content lens for Juniors too, several persuasion objectives can be re-bucketed.</w:t>
      </w:r>
    </w:p>
    <w:p>
      <w:pPr>
        <w:spacing w:after="120"/>
      </w:pPr>
      <w:r>
        <w:rPr>
          <w:rFonts w:ascii="Calibri" w:cs="Calibri" w:eastAsia="Calibri" w:hAnsi="Calibri"/>
          <w:color w:val="222222"/>
          <w:sz w:val="22"/>
          <w:szCs w:val="22"/>
        </w:rPr>
        <w:t xml:space="preserve">The Phase 3 critical-evaluation closer is implicit (CTT applies the earlier objectives to a novel case). No new objectives fire in Phase 3 for critical evaluation. If you want the CTT to require demonstrated competence on a specific Phase 3 objective, name it explicitly.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Forge Prep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Forge Challenge — Phase View by Content Area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2026-06-17T17:07:15.994Z</dcterms:created>
  <dcterms:modified xsi:type="dcterms:W3CDTF">2026-06-17T17:07:15.995Z</dcterms:modified>
</cp:coreProperties>
</file>

<file path=docProps/custom.xml><?xml version="1.0" encoding="utf-8"?>
<Properties xmlns="http://schemas.openxmlformats.org/officeDocument/2006/custom-properties" xmlns:vt="http://schemas.openxmlformats.org/officeDocument/2006/docPropsVTypes"/>
</file>