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80" w:lineRule="auto"/>
        <w:rPr/>
      </w:pPr>
      <w:r w:rsidDel="00000000" w:rsidR="00000000" w:rsidRPr="00000000">
        <w:rPr>
          <w:rFonts w:ascii="Calibri" w:cs="Calibri" w:eastAsia="Calibri" w:hAnsi="Calibri"/>
          <w:b w:val="1"/>
          <w:bCs w:val="1"/>
          <w:color w:val="1f2937"/>
          <w:sz w:val="44"/>
          <w:szCs w:val="44"/>
          <w:rtl w:val="0"/>
        </w:rPr>
        <w:t xml:space="preserve">Sample Challenge: Design Our School Lunches</w:t>
      </w:r>
      <w:r w:rsidDel="00000000" w:rsidR="00000000" w:rsidRPr="00000000">
        <w:rPr>
          <w:rtl w:val="0"/>
        </w:rPr>
      </w:r>
    </w:p>
    <w:p w:rsidR="00000000" w:rsidDel="00000000" w:rsidP="00000000" w:rsidRDefault="00000000" w:rsidRPr="00000000" w14:paraId="00000002">
      <w:pPr>
        <w:pBdr>
          <w:bottom w:color="c2410c" w:space="8" w:sz="12" w:val="single"/>
        </w:pBdr>
        <w:spacing w:after="260" w:lineRule="auto"/>
        <w:rPr/>
      </w:pPr>
      <w:r w:rsidDel="00000000" w:rsidR="00000000" w:rsidRPr="00000000">
        <w:rPr>
          <w:rFonts w:ascii="Calibri" w:cs="Calibri" w:eastAsia="Calibri" w:hAnsi="Calibri"/>
          <w:i w:val="1"/>
          <w:iCs w:val="1"/>
          <w:color w:val="595959"/>
          <w:sz w:val="22"/>
          <w:szCs w:val="22"/>
          <w:rtl w:val="0"/>
        </w:rPr>
        <w:t xml:space="preserve">One Forge challenge, from the first lesson to the final panel</w:t>
      </w:r>
      <w:r w:rsidDel="00000000" w:rsidR="00000000" w:rsidRPr="00000000">
        <w:rPr>
          <w:rtl w:val="0"/>
        </w:rPr>
      </w:r>
    </w:p>
    <w:p w:rsidR="00000000" w:rsidDel="00000000" w:rsidP="00000000" w:rsidRDefault="00000000" w:rsidRPr="00000000" w14:paraId="00000003">
      <w:pPr>
        <w:spacing w:after="160" w:line="264" w:lineRule="auto"/>
        <w:rPr/>
      </w:pPr>
      <w:r w:rsidDel="00000000" w:rsidR="00000000" w:rsidRPr="00000000">
        <w:rPr>
          <w:rFonts w:ascii="Calibri" w:cs="Calibri" w:eastAsia="Calibri" w:hAnsi="Calibri"/>
          <w:b w:val="1"/>
          <w:bCs w:val="1"/>
          <w:color w:val="c2410c"/>
          <w:rtl w:val="0"/>
        </w:rPr>
        <w:t xml:space="preserve">What a challenge is.  </w:t>
      </w:r>
      <w:r w:rsidDel="00000000" w:rsidR="00000000" w:rsidRPr="00000000">
        <w:rPr>
          <w:rFonts w:ascii="Calibri" w:cs="Calibri" w:eastAsia="Calibri" w:hAnsi="Calibri"/>
          <w:color w:val="222222"/>
          <w:rtl w:val="0"/>
        </w:rPr>
        <w:t xml:space="preserve">At Forge, students don’t move through isolated subjects. They work on </w:t>
      </w:r>
      <w:r w:rsidDel="00000000" w:rsidR="00000000" w:rsidRPr="00000000">
        <w:rPr>
          <w:rtl w:val="0"/>
        </w:rPr>
        <w:t xml:space="preserve">challenges that are extended</w:t>
      </w:r>
      <w:r w:rsidDel="00000000" w:rsidR="00000000" w:rsidRPr="00000000">
        <w:rPr>
          <w:rFonts w:ascii="Calibri" w:cs="Calibri" w:eastAsia="Calibri" w:hAnsi="Calibri"/>
          <w:color w:val="222222"/>
          <w:rtl w:val="0"/>
        </w:rPr>
        <w:t xml:space="preserve">, interdisciplinary problems with a real outside partner and a real audience. A guide (our term for the adults who teach and mentor) leads the academic instruction inside each challenge. “Design Our School Lunches” is one of more than a dozen challenges a student completes across the school year, and it runs about seven weeks.</w:t>
      </w:r>
      <w:r w:rsidDel="00000000" w:rsidR="00000000" w:rsidRPr="00000000">
        <w:rPr>
          <w:rtl w:val="0"/>
        </w:rPr>
      </w:r>
    </w:p>
    <w:p w:rsidR="00000000" w:rsidDel="00000000" w:rsidP="00000000" w:rsidRDefault="00000000" w:rsidRPr="00000000" w14:paraId="00000004">
      <w:pPr>
        <w:spacing w:after="160" w:line="264" w:lineRule="auto"/>
        <w:rPr/>
      </w:pPr>
      <w:r w:rsidDel="00000000" w:rsidR="00000000" w:rsidRPr="00000000">
        <w:rPr>
          <w:rFonts w:ascii="Calibri" w:cs="Calibri" w:eastAsia="Calibri" w:hAnsi="Calibri"/>
          <w:b w:val="1"/>
          <w:bCs w:val="1"/>
          <w:color w:val="c2410c"/>
          <w:rtl w:val="0"/>
        </w:rPr>
        <w:t xml:space="preserve">The real problem.  </w:t>
      </w:r>
      <w:r w:rsidDel="00000000" w:rsidR="00000000" w:rsidRPr="00000000">
        <w:rPr>
          <w:rFonts w:ascii="Calibri" w:cs="Calibri" w:eastAsia="Calibri" w:hAnsi="Calibri"/>
          <w:color w:val="222222"/>
          <w:rtl w:val="0"/>
        </w:rPr>
        <w:t xml:space="preserve">Forge needs lunch partners for its boxed-lunch program. Student teams work with a local restaurant to design a five-day menu that has to be nutritious, affordable, and good enough that students will choose to eat it. Each team makes its case to a panel of chefs and judges, and the menus that hold up go into the school’s lunch rotation. The client, the budget, and the deadline are not invented for the assignment.</w:t>
      </w:r>
      <w:r w:rsidDel="00000000" w:rsidR="00000000" w:rsidRPr="00000000">
        <w:rPr>
          <w:rtl w:val="0"/>
        </w:rPr>
      </w:r>
    </w:p>
    <w:p w:rsidR="00000000" w:rsidDel="00000000" w:rsidP="00000000" w:rsidRDefault="00000000" w:rsidRPr="00000000" w14:paraId="00000005">
      <w:pPr>
        <w:spacing w:after="120" w:before="300" w:lineRule="auto"/>
        <w:rPr/>
      </w:pPr>
      <w:r w:rsidDel="00000000" w:rsidR="00000000" w:rsidRPr="00000000">
        <w:rPr>
          <w:rFonts w:ascii="Calibri" w:cs="Calibri" w:eastAsia="Calibri" w:hAnsi="Calibri"/>
          <w:b w:val="1"/>
          <w:bCs w:val="1"/>
          <w:color w:val="c2410c"/>
          <w:sz w:val="24"/>
          <w:szCs w:val="24"/>
          <w:rtl w:val="0"/>
        </w:rPr>
        <w:t xml:space="preserve">What students learn: the academic spine</w:t>
      </w:r>
      <w:r w:rsidDel="00000000" w:rsidR="00000000" w:rsidRPr="00000000">
        <w:rPr>
          <w:rtl w:val="0"/>
        </w:rPr>
      </w:r>
    </w:p>
    <w:p w:rsidR="00000000" w:rsidDel="00000000" w:rsidP="00000000" w:rsidRDefault="00000000" w:rsidRPr="00000000" w14:paraId="00000006">
      <w:pPr>
        <w:spacing w:after="160" w:line="264" w:lineRule="auto"/>
        <w:rPr/>
      </w:pPr>
      <w:r w:rsidDel="00000000" w:rsidR="00000000" w:rsidRPr="00000000">
        <w:rPr>
          <w:rFonts w:ascii="Calibri" w:cs="Calibri" w:eastAsia="Calibri" w:hAnsi="Calibri"/>
          <w:color w:val="222222"/>
          <w:rtl w:val="0"/>
        </w:rPr>
        <w:t xml:space="preserve">The menu is what the family sees. The academic work behind it is graded against the New Jersey Student Learning Standards.</w:t>
      </w:r>
      <w:r w:rsidDel="00000000" w:rsidR="00000000" w:rsidRPr="00000000">
        <w:rPr>
          <w:rtl w:val="0"/>
        </w:rPr>
      </w:r>
    </w:p>
    <w:p w:rsidR="00000000" w:rsidDel="00000000" w:rsidP="00000000" w:rsidRDefault="00000000" w:rsidRPr="00000000" w14:paraId="00000007">
      <w:pPr>
        <w:spacing w:after="160" w:line="264" w:lineRule="auto"/>
        <w:rPr/>
      </w:pPr>
      <w:r w:rsidDel="00000000" w:rsidR="00000000" w:rsidRPr="00000000">
        <w:rPr>
          <w:rFonts w:ascii="Calibri" w:cs="Calibri" w:eastAsia="Calibri" w:hAnsi="Calibri"/>
          <w:b w:val="1"/>
          <w:bCs w:val="1"/>
          <w:color w:val="c2410c"/>
          <w:rtl w:val="0"/>
        </w:rPr>
        <w:t xml:space="preserve">Mathematics.  </w:t>
      </w:r>
      <w:r w:rsidDel="00000000" w:rsidR="00000000" w:rsidRPr="00000000">
        <w:rPr>
          <w:rFonts w:ascii="Calibri" w:cs="Calibri" w:eastAsia="Calibri" w:hAnsi="Calibri"/>
          <w:color w:val="222222"/>
          <w:rtl w:val="0"/>
        </w:rPr>
        <w:t xml:space="preserve">Students reason through ratios conceptually before they see formal notation, then scale a real recipe from one serving to thirty using fraction multiplication. They convert units within and across measurement systems using actual recipe cards, price ingredients at retail and wholesale, and build a </w:t>
      </w:r>
      <w:r w:rsidDel="00000000" w:rsidR="00000000" w:rsidRPr="00000000">
        <w:rPr>
          <w:rtl w:val="0"/>
        </w:rPr>
        <w:t xml:space="preserve">cost model that covers ingredients, labor, and overhead, and that produces</w:t>
      </w:r>
      <w:r w:rsidDel="00000000" w:rsidR="00000000" w:rsidRPr="00000000">
        <w:rPr>
          <w:rFonts w:ascii="Calibri" w:cs="Calibri" w:eastAsia="Calibri" w:hAnsi="Calibri"/>
          <w:color w:val="222222"/>
          <w:rtl w:val="0"/>
        </w:rPr>
        <w:t xml:space="preserve"> a defensible cost per student per meal. They plot their cost and nutrition data and read it.</w:t>
      </w:r>
      <w:r w:rsidDel="00000000" w:rsidR="00000000" w:rsidRPr="00000000">
        <w:rPr>
          <w:rtl w:val="0"/>
        </w:rPr>
      </w:r>
    </w:p>
    <w:p w:rsidR="00000000" w:rsidDel="00000000" w:rsidP="00000000" w:rsidRDefault="00000000" w:rsidRPr="00000000" w14:paraId="00000008">
      <w:pPr>
        <w:spacing w:after="160" w:line="264" w:lineRule="auto"/>
        <w:rPr/>
      </w:pPr>
      <w:r w:rsidDel="00000000" w:rsidR="00000000" w:rsidRPr="00000000">
        <w:rPr>
          <w:rFonts w:ascii="Calibri" w:cs="Calibri" w:eastAsia="Calibri" w:hAnsi="Calibri"/>
          <w:b w:val="1"/>
          <w:bCs w:val="1"/>
          <w:color w:val="c2410c"/>
          <w:rtl w:val="0"/>
        </w:rPr>
        <w:t xml:space="preserve">Biology and human systems.  </w:t>
      </w:r>
      <w:r w:rsidDel="00000000" w:rsidR="00000000" w:rsidRPr="00000000">
        <w:rPr>
          <w:rFonts w:ascii="Calibri" w:cs="Calibri" w:eastAsia="Calibri" w:hAnsi="Calibri"/>
          <w:color w:val="222222"/>
          <w:rtl w:val="0"/>
        </w:rPr>
        <w:t xml:space="preserve">Students study the digestive system as both a mechanical and a chemical process: what amylase does to starch, what bile does to fat, how nutrients cross into the bloodstream. They learn what carbohydrates, proteins, and fats each do in the body, how a glucose spike and crash affects afternoon concentration, and how the gut signals the brain.</w:t>
      </w:r>
      <w:r w:rsidDel="00000000" w:rsidR="00000000" w:rsidRPr="00000000">
        <w:rPr>
          <w:rtl w:val="0"/>
        </w:rPr>
      </w:r>
    </w:p>
    <w:p w:rsidR="00000000" w:rsidDel="00000000" w:rsidP="00000000" w:rsidRDefault="00000000" w:rsidRPr="00000000" w14:paraId="00000009">
      <w:pPr>
        <w:spacing w:after="160" w:line="264" w:lineRule="auto"/>
        <w:rPr/>
      </w:pPr>
      <w:r w:rsidDel="00000000" w:rsidR="00000000" w:rsidRPr="00000000">
        <w:rPr>
          <w:rFonts w:ascii="Calibri" w:cs="Calibri" w:eastAsia="Calibri" w:hAnsi="Calibri"/>
          <w:b w:val="1"/>
          <w:bCs w:val="1"/>
          <w:color w:val="c2410c"/>
          <w:rtl w:val="0"/>
        </w:rPr>
        <w:t xml:space="preserve">Science process.  </w:t>
      </w:r>
      <w:r w:rsidDel="00000000" w:rsidR="00000000" w:rsidRPr="00000000">
        <w:rPr>
          <w:rFonts w:ascii="Calibri" w:cs="Calibri" w:eastAsia="Calibri" w:hAnsi="Calibri"/>
          <w:color w:val="222222"/>
          <w:rtl w:val="0"/>
        </w:rPr>
        <w:t xml:space="preserve">Students run real qualitative chemical tests on food samples (iodine for starch, Benedict’s reagent for sugars, the Biuret test for protein) and learn precisely what those tests can and cannot confirm. They design and run a repeated-measures experiment on their own daily cognitive performance, then account for confounding variables such as sleep, stress, and exercise once they have seen those variables show up in their own data.</w:t>
      </w:r>
      <w:r w:rsidDel="00000000" w:rsidR="00000000" w:rsidRPr="00000000">
        <w:rPr>
          <w:rtl w:val="0"/>
        </w:rPr>
      </w:r>
    </w:p>
    <w:p w:rsidR="00000000" w:rsidDel="00000000" w:rsidP="00000000" w:rsidRDefault="00000000" w:rsidRPr="00000000" w14:paraId="0000000A">
      <w:pPr>
        <w:spacing w:after="160" w:line="264" w:lineRule="auto"/>
        <w:rPr/>
      </w:pPr>
      <w:r w:rsidDel="00000000" w:rsidR="00000000" w:rsidRPr="00000000">
        <w:rPr>
          <w:rFonts w:ascii="Calibri" w:cs="Calibri" w:eastAsia="Calibri" w:hAnsi="Calibri"/>
          <w:b w:val="1"/>
          <w:bCs w:val="1"/>
          <w:color w:val="c2410c"/>
          <w:rtl w:val="0"/>
        </w:rPr>
        <w:t xml:space="preserve">Communication.  </w:t>
      </w:r>
      <w:r w:rsidDel="00000000" w:rsidR="00000000" w:rsidRPr="00000000">
        <w:rPr>
          <w:rFonts w:ascii="Calibri" w:cs="Calibri" w:eastAsia="Calibri" w:hAnsi="Calibri"/>
          <w:color w:val="222222"/>
          <w:rtl w:val="0"/>
        </w:rPr>
        <w:t xml:space="preserve">Students write and deliver a professional brief to an adult expert, negotiate and push back on proposals, produce a sixty-to-ninety-second video for their partner’s social media, and make an evidence-based case to a panel that will challenge them.</w:t>
      </w:r>
      <w:r w:rsidDel="00000000" w:rsidR="00000000" w:rsidRPr="00000000">
        <w:rPr>
          <w:rtl w:val="0"/>
        </w:rPr>
      </w:r>
    </w:p>
    <w:p w:rsidR="00000000" w:rsidDel="00000000" w:rsidP="00000000" w:rsidRDefault="00000000" w:rsidRPr="00000000" w14:paraId="0000000B">
      <w:pPr>
        <w:spacing w:after="120" w:before="300" w:lineRule="auto"/>
        <w:rPr/>
      </w:pPr>
      <w:r w:rsidDel="00000000" w:rsidR="00000000" w:rsidRPr="00000000">
        <w:rPr>
          <w:rFonts w:ascii="Calibri" w:cs="Calibri" w:eastAsia="Calibri" w:hAnsi="Calibri"/>
          <w:b w:val="1"/>
          <w:bCs w:val="1"/>
          <w:color w:val="c2410c"/>
          <w:sz w:val="24"/>
          <w:szCs w:val="24"/>
          <w:rtl w:val="0"/>
        </w:rPr>
        <w:t xml:space="preserve">How an advanced student goes further</w:t>
      </w:r>
      <w:r w:rsidDel="00000000" w:rsidR="00000000" w:rsidRPr="00000000">
        <w:rPr>
          <w:rtl w:val="0"/>
        </w:rPr>
      </w:r>
    </w:p>
    <w:p w:rsidR="00000000" w:rsidDel="00000000" w:rsidP="00000000" w:rsidRDefault="00000000" w:rsidRPr="00000000" w14:paraId="0000000C">
      <w:pPr>
        <w:spacing w:after="160" w:line="264" w:lineRule="auto"/>
        <w:rPr/>
      </w:pPr>
      <w:r w:rsidDel="00000000" w:rsidR="00000000" w:rsidRPr="00000000">
        <w:rPr>
          <w:rFonts w:ascii="Calibri" w:cs="Calibri" w:eastAsia="Calibri" w:hAnsi="Calibri"/>
          <w:color w:val="222222"/>
          <w:rtl w:val="0"/>
        </w:rPr>
        <w:t xml:space="preserve">Forge runs </w:t>
      </w:r>
      <w:r w:rsidDel="00000000" w:rsidR="00000000" w:rsidRPr="00000000">
        <w:rPr>
          <w:rtl w:val="0"/>
        </w:rPr>
        <w:t xml:space="preserve">two cohorts (Grades 5 and 6 together, Grades 7 and 8 together) and</w:t>
      </w:r>
      <w:r w:rsidDel="00000000" w:rsidR="00000000" w:rsidRPr="00000000">
        <w:rPr>
          <w:rFonts w:ascii="Calibri" w:cs="Calibri" w:eastAsia="Calibri" w:hAnsi="Calibri"/>
          <w:color w:val="222222"/>
          <w:rtl w:val="0"/>
        </w:rPr>
        <w:t xml:space="preserve"> a single challenge is differentiated inside the room rather than split into separate classes. Younger students handle unit conversion within one measurement system; stronger students convert across systems. The core math is fraction multiplication; students who have it move on in the same session to mixed numbers and improper fractions. Older students take on markup, margin, and a one-page profit-and-loss statement for their menu, and anyone who finishes the basic cost model early starts the profit-and-loss extension. A student who is ahead is not held to the pace of the room; a guide sets them on their own track and lets them run.</w:t>
      </w:r>
      <w:r w:rsidDel="00000000" w:rsidR="00000000" w:rsidRPr="00000000">
        <w:rPr>
          <w:rtl w:val="0"/>
        </w:rPr>
      </w:r>
    </w:p>
    <w:p w:rsidR="00000000" w:rsidDel="00000000" w:rsidP="00000000" w:rsidRDefault="00000000" w:rsidRPr="00000000" w14:paraId="0000000D">
      <w:pPr>
        <w:spacing w:after="120" w:before="300" w:lineRule="auto"/>
        <w:rPr/>
      </w:pPr>
      <w:r w:rsidDel="00000000" w:rsidR="00000000" w:rsidRPr="00000000">
        <w:rPr>
          <w:rFonts w:ascii="Calibri" w:cs="Calibri" w:eastAsia="Calibri" w:hAnsi="Calibri"/>
          <w:b w:val="1"/>
          <w:bCs w:val="1"/>
          <w:color w:val="c2410c"/>
          <w:sz w:val="24"/>
          <w:szCs w:val="24"/>
          <w:rtl w:val="0"/>
        </w:rPr>
        <w:t xml:space="preserve">How we make sure every student does the work</w:t>
      </w:r>
      <w:r w:rsidDel="00000000" w:rsidR="00000000" w:rsidRPr="00000000">
        <w:rPr>
          <w:rtl w:val="0"/>
        </w:rPr>
      </w:r>
    </w:p>
    <w:p w:rsidR="00000000" w:rsidDel="00000000" w:rsidP="00000000" w:rsidRDefault="00000000" w:rsidRPr="00000000" w14:paraId="0000000E">
      <w:pPr>
        <w:spacing w:after="160" w:line="264" w:lineRule="auto"/>
        <w:rPr/>
      </w:pPr>
      <w:r w:rsidDel="00000000" w:rsidR="00000000" w:rsidRPr="00000000">
        <w:rPr>
          <w:rFonts w:ascii="Calibri" w:cs="Calibri" w:eastAsia="Calibri" w:hAnsi="Calibri"/>
          <w:color w:val="222222"/>
          <w:rtl w:val="0"/>
        </w:rPr>
        <w:t xml:space="preserve">In most group projects, one strong student can carry everyone else. Forge prevents that two ways. The no-passenger rule: any team member who cannot explain or defend the work behind a deliverable does not pass, however polished the team’s output. And an individual mastery assessment: after the panel, each student sits for a ten-minute one-on-one in which they explain the nutritional reasoning, work a scaling problem, and walk through the cost model on their own. The work each student builds across challenges becomes their </w:t>
      </w:r>
      <w:r w:rsidDel="00000000" w:rsidR="00000000" w:rsidRPr="00000000">
        <w:rPr>
          <w:rtl w:val="0"/>
        </w:rPr>
        <w:t xml:space="preserve">Proof Transcript, which is standards-aligned evidence</w:t>
      </w:r>
      <w:r w:rsidDel="00000000" w:rsidR="00000000" w:rsidRPr="00000000">
        <w:rPr>
          <w:rFonts w:ascii="Calibri" w:cs="Calibri" w:eastAsia="Calibri" w:hAnsi="Calibri"/>
          <w:color w:val="222222"/>
          <w:rtl w:val="0"/>
        </w:rPr>
        <w:t xml:space="preserve"> of what they can do, in a form a traditional school or a college admissions office can read.</w:t>
      </w:r>
      <w:r w:rsidDel="00000000" w:rsidR="00000000" w:rsidRPr="00000000">
        <w:rPr>
          <w:rtl w:val="0"/>
        </w:rPr>
      </w:r>
    </w:p>
    <w:p w:rsidR="00000000" w:rsidDel="00000000" w:rsidP="00000000" w:rsidRDefault="00000000" w:rsidRPr="00000000" w14:paraId="0000000F">
      <w:pPr>
        <w:spacing w:after="120" w:before="300" w:lineRule="auto"/>
        <w:rPr/>
      </w:pPr>
      <w:r w:rsidDel="00000000" w:rsidR="00000000" w:rsidRPr="00000000">
        <w:rPr>
          <w:rFonts w:ascii="Calibri" w:cs="Calibri" w:eastAsia="Calibri" w:hAnsi="Calibri"/>
          <w:b w:val="1"/>
          <w:bCs w:val="1"/>
          <w:color w:val="c2410c"/>
          <w:sz w:val="24"/>
          <w:szCs w:val="24"/>
          <w:rtl w:val="0"/>
        </w:rPr>
        <w:t xml:space="preserve">The standards this challenge is built on</w:t>
      </w:r>
      <w:r w:rsidDel="00000000" w:rsidR="00000000" w:rsidRPr="00000000">
        <w:rPr>
          <w:rtl w:val="0"/>
        </w:rPr>
      </w:r>
    </w:p>
    <w:p w:rsidR="00000000" w:rsidDel="00000000" w:rsidP="00000000" w:rsidRDefault="00000000" w:rsidRPr="00000000" w14:paraId="00000010">
      <w:pPr>
        <w:spacing w:after="160" w:line="264" w:lineRule="auto"/>
        <w:rPr/>
      </w:pPr>
      <w:r w:rsidDel="00000000" w:rsidR="00000000" w:rsidRPr="00000000">
        <w:rPr>
          <w:rFonts w:ascii="Calibri" w:cs="Calibri" w:eastAsia="Calibri" w:hAnsi="Calibri"/>
          <w:color w:val="222222"/>
          <w:rtl w:val="0"/>
        </w:rPr>
        <w:t xml:space="preserve">One challenge covers part of the grade-level sequence; the full set of challenges across the year covers all of it. This one centers on sixth-grade Ratios and Proportional Relationships (6.RP.A.1–3) and extends below and above that: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540" w:right="0" w:hanging="270"/>
        <w:jc w:val="left"/>
        <w:rPr/>
      </w:pPr>
      <w:r w:rsidDel="00000000" w:rsidR="00000000" w:rsidRPr="00000000">
        <w:rPr>
          <w:b w:val="1"/>
          <w:bCs w:val="1"/>
          <w:rtl w:val="0"/>
        </w:rPr>
        <w:t xml:space="preserve">Number and Operations: Fractions</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 (Grade 5):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multiplying fractions and interpreting multiplication as scaling (5.NF.B.4–6)</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Number System and Decimal Operations (Grades 5–6):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fluent multi-digit and decimal calculation across every cost figure (5.NBT.B.7, 6.NS.A.1, 6.NS.B.3)</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Measurement (Grade 5):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converting within a measurement system (5.MD.A.1)</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Expressions and Equations (Grades 6–7):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representing the cost model with variables and solving real constraints (6.EE.B.6–7, 7.EE.B.3–4)</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Ratios and Proportional Relationships (Grade 7):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unit rates and multi-step percent problems including markup and margin (7.RP.A.1–3)</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Statistics and Probability (Grades 6–7):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posing a statistical question, building and reading data displays, and reasoning from a sample (6.SP.A.1–2, 6.SP.B.4–5, 7.SP.A.1)</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Life Science (Middle School):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body as a system of interacting subsystems, chemical transformation of food, and sensory signals to the brain (MS-LS1-3, MS-LS1-7, MS-LS1-8)</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Physical Science and Engineering Design (Middle School):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determining chemical reactions from evidence, and the full engineering-design cycle of defining constraints, evaluating solutions, and analyzing test data (MS-PS1-2, MS-ETS1-1 through 3)</w:t>
      </w:r>
    </w:p>
    <w:p w:rsidR="00000000" w:rsidDel="00000000" w:rsidP="00000000" w:rsidRDefault="00000000" w:rsidRPr="00000000" w14:paraId="00000019">
      <w:pPr>
        <w:spacing w:after="120" w:before="300" w:lineRule="auto"/>
        <w:rPr/>
      </w:pPr>
      <w:r w:rsidDel="00000000" w:rsidR="00000000" w:rsidRPr="00000000">
        <w:rPr>
          <w:rFonts w:ascii="Calibri" w:cs="Calibri" w:eastAsia="Calibri" w:hAnsi="Calibri"/>
          <w:b w:val="1"/>
          <w:bCs w:val="1"/>
          <w:color w:val="c2410c"/>
          <w:sz w:val="24"/>
          <w:szCs w:val="24"/>
          <w:rtl w:val="0"/>
        </w:rPr>
        <w:t xml:space="preserve">How it’s taught</w:t>
      </w:r>
      <w:r w:rsidDel="00000000" w:rsidR="00000000" w:rsidRPr="00000000">
        <w:rPr>
          <w:rtl w:val="0"/>
        </w:rPr>
      </w:r>
    </w:p>
    <w:p w:rsidR="00000000" w:rsidDel="00000000" w:rsidP="00000000" w:rsidRDefault="00000000" w:rsidRPr="00000000" w14:paraId="0000001A">
      <w:pPr>
        <w:spacing w:after="160" w:line="264" w:lineRule="auto"/>
        <w:rPr/>
      </w:pPr>
      <w:r w:rsidDel="00000000" w:rsidR="00000000" w:rsidRPr="00000000">
        <w:rPr>
          <w:rFonts w:ascii="Calibri" w:cs="Calibri" w:eastAsia="Calibri" w:hAnsi="Calibri"/>
          <w:color w:val="222222"/>
          <w:rtl w:val="0"/>
        </w:rPr>
        <w:t xml:space="preserve">Every lesson follows Rosenshine’s principles of instruction: a concept is taught directly, practiced with guidance, and checked for understanding before students apply it. Students learn the underlying </w:t>
      </w:r>
      <w:r w:rsidDel="00000000" w:rsidR="00000000" w:rsidRPr="00000000">
        <w:rPr>
          <w:rtl w:val="0"/>
        </w:rPr>
        <w:t xml:space="preserve">knowledge first by building concept before context, then building on it</w:t>
      </w:r>
      <w:r w:rsidDel="00000000" w:rsidR="00000000" w:rsidRPr="00000000">
        <w:rPr>
          <w:rFonts w:ascii="Calibri" w:cs="Calibri" w:eastAsia="Calibri" w:hAnsi="Calibri"/>
          <w:color w:val="222222"/>
          <w:rtl w:val="0"/>
        </w:rPr>
        <w:t xml:space="preserve">. The hands-on work comes after the teaching, not instead of it, and it is where students show what they have learned.</w:t>
      </w:r>
      <w:r w:rsidDel="00000000" w:rsidR="00000000" w:rsidRPr="00000000">
        <w:rPr>
          <w:rtl w:val="0"/>
        </w:rPr>
      </w:r>
    </w:p>
    <w:sectPr>
      <w:headerReference r:id="rId6" w:type="default"/>
      <w:footerReference r:id="rId7" w:type="default"/>
      <w:pgSz w:h="15840" w:w="12240" w:orient="portrait"/>
      <w:pgMar w:bottom="1296" w:top="1600" w:left="1440" w:right="1440" w:header="560" w:footer="5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Bdr>
        <w:top w:color="c2410c" w:space="6" w:sz="12" w:val="single"/>
      </w:pBdr>
      <w:tabs>
        <w:tab w:val="right" w:leader="none" w:pos="9360"/>
      </w:tabs>
      <w:rPr/>
    </w:pPr>
    <w:r w:rsidDel="00000000" w:rsidR="00000000" w:rsidRPr="00000000">
      <w:rPr>
        <w:rFonts w:ascii="Calibri" w:cs="Calibri" w:eastAsia="Calibri" w:hAnsi="Calibri"/>
        <w:color w:val="595959"/>
        <w:sz w:val="16"/>
        <w:szCs w:val="16"/>
        <w:rtl w:val="0"/>
      </w:rPr>
      <w:t xml:space="preserve">Forge Prep  ·  Curriculum SamplePage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of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shd w:fill="1f2937" w:val="clear"/>
      <w:spacing w:after="60" w:before="60" w:line="300" w:lineRule="auto"/>
      <w:ind w:left="120" w:right="120" w:firstLine="0"/>
      <w:rPr/>
    </w:pPr>
    <w:r w:rsidDel="00000000" w:rsidR="00000000" w:rsidRPr="00000000">
      <w:rPr>
        <w:rFonts w:ascii="Calibri" w:cs="Calibri" w:eastAsia="Calibri" w:hAnsi="Calibri"/>
        <w:b w:val="1"/>
        <w:bCs w:val="1"/>
        <w:color w:val="ffffff"/>
        <w:sz w:val="32"/>
        <w:szCs w:val="32"/>
        <w:rtl w:val="0"/>
      </w:rPr>
      <w:t xml:space="preserve">FORGE </w:t>
    </w:r>
    <w:r w:rsidDel="00000000" w:rsidR="00000000" w:rsidRPr="00000000">
      <w:rPr>
        <w:rFonts w:ascii="Calibri" w:cs="Calibri" w:eastAsia="Calibri" w:hAnsi="Calibri"/>
        <w:b w:val="1"/>
        <w:bCs w:val="1"/>
        <w:color w:val="c2410c"/>
        <w:sz w:val="32"/>
        <w:szCs w:val="32"/>
        <w:rtl w:val="0"/>
      </w:rPr>
      <w:t xml:space="preserve">PREP</w:t>
    </w:r>
    <w:r w:rsidDel="00000000" w:rsidR="00000000" w:rsidRPr="00000000">
      <w:rPr>
        <w:rtl w:val="0"/>
      </w:rPr>
      <w:br w:type="textWrapping"/>
    </w:r>
    <w:r w:rsidDel="00000000" w:rsidR="00000000" w:rsidRPr="00000000">
      <w:rPr>
        <w:rFonts w:ascii="Calibri" w:cs="Calibri" w:eastAsia="Calibri" w:hAnsi="Calibri"/>
        <w:color w:val="ffffff"/>
        <w:sz w:val="15"/>
        <w:szCs w:val="15"/>
        <w:rtl w:val="0"/>
      </w:rPr>
      <w:t xml:space="preserve">LIVINGSTON, NEW JERSEY  ·  FOUNDING YEAR 2026–2027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