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spacing w:after="0"/>
      </w:pPr>
      <w:r>
        <w:rPr>
          <w:rFonts w:ascii="Georgia" w:cs="Georgia" w:eastAsia="Georgia" w:hAnsi="Georgia"/>
          <w:color w:val="C8461C"/>
          <w:spacing w:val="200"/>
          <w:sz w:val="20"/>
          <w:szCs w:val="20"/>
        </w:rPr>
        <w:t xml:space="preserve">APOLLO ADVANCEMENT</w:t>
      </w:r>
    </w:p>
    <w:p>
      <w:pPr>
        <w:pBdr>
          <w:bottom w:val="single" w:color="C8461C" w:sz="6" w:space="8"/>
        </w:pBdr>
        <w:spacing w:after="0" w:before="0"/>
      </w:pPr>
    </w:p>
    <w:p>
      <w:pPr>
        <w:spacing w:after="0" w:before="200"/>
      </w:pPr>
    </w:p>
    <w:p>
      <w:pPr>
        <w:spacing w:after="120"/>
      </w:pPr>
      <w:r>
        <w:rPr>
          <w:rFonts w:ascii="Georgia" w:cs="Georgia" w:eastAsia="Georgia" w:hAnsi="Georgia"/>
          <w:b/>
          <w:bCs/>
          <w:color w:val="1A1210"/>
          <w:sz w:val="52"/>
          <w:szCs w:val="52"/>
        </w:rPr>
        <w:t xml:space="preserve">Development Audit</w:t>
      </w:r>
    </w:p>
    <w:p>
      <w:pPr>
        <w:spacing w:after="60"/>
      </w:pPr>
      <w:r>
        <w:rPr>
          <w:rFonts w:ascii="Georgia" w:cs="Georgia" w:eastAsia="Georgia" w:hAnsi="Georgia"/>
          <w:b/>
          <w:bCs/>
          <w:color w:val="1A1210"/>
          <w:sz w:val="52"/>
          <w:szCs w:val="52"/>
        </w:rPr>
        <w:t xml:space="preserve">&amp; Strategic Plan</w:t>
      </w:r>
    </w:p>
    <w:p>
      <w:pPr>
        <w:spacing w:after="0" w:before="100"/>
      </w:pPr>
    </w:p>
    <w:p>
      <w:pPr>
        <w:spacing w:after="60"/>
      </w:pPr>
      <w:r>
        <w:rPr>
          <w:rFonts w:ascii="Georgia" w:cs="Georgia" w:eastAsia="Georgia" w:hAnsi="Georgia"/>
          <w:color w:val="6B5E54"/>
          <w:sz w:val="26"/>
          <w:szCs w:val="26"/>
        </w:rPr>
        <w:t xml:space="preserve">Proposal for Maryvale Academy of Ottawa</w:t>
      </w:r>
    </w:p>
    <w:p>
      <w:pPr>
        <w:spacing w:after="0" w:before="600"/>
      </w:pPr>
    </w:p>
    <w:p>
      <w:pPr>
        <w:spacing w:after="60"/>
      </w:pPr>
      <w:r>
        <w:rPr>
          <w:rFonts w:ascii="Calibri" w:cs="Calibri" w:eastAsia="Calibri" w:hAnsi="Calibri"/>
          <w:color w:val="1A1210"/>
          <w:sz w:val="22"/>
          <w:szCs w:val="22"/>
        </w:rPr>
        <w:t xml:space="preserve">Prepared by John Jalsevac, PhD</w:t>
      </w:r>
    </w:p>
    <w:p>
      <w:pPr>
        <w:spacing w:after="60"/>
      </w:pPr>
      <w:r>
        <w:rPr>
          <w:rFonts w:ascii="Calibri" w:cs="Calibri" w:eastAsia="Calibri" w:hAnsi="Calibri"/>
          <w:color w:val="6B5E54"/>
          <w:sz w:val="22"/>
          <w:szCs w:val="22"/>
        </w:rPr>
        <w:t xml:space="preserve">Apollo Advancement</w:t>
      </w:r>
    </w:p>
    <w:p>
      <w:pPr>
        <w:spacing w:after="60"/>
      </w:pPr>
      <w:r>
        <w:rPr>
          <w:rFonts w:ascii="Calibri" w:cs="Calibri" w:eastAsia="Calibri" w:hAnsi="Calibri"/>
          <w:color w:val="6B5E54"/>
          <w:sz w:val="22"/>
          <w:szCs w:val="22"/>
        </w:rPr>
        <w:t xml:space="preserve">April 2026</w:t>
      </w:r>
    </w:p>
    <w:p>
      <w:r>
        <w:br w:type="page"/>
      </w:r>
    </w:p>
    <w:p>
      <w:pPr>
        <w:sectPr>
          <w:pgSz w:w="12240" w:h="15840" w:orient="portrait"/>
          <w:pgMar w:top="1440" w:right="1440" w:bottom="1440" w:left="1440" w:header="708" w:footer="708" w:gutter="0"/>
          <w:pgNumType/>
          <w:docGrid w:linePitch="360"/>
        </w:sectPr>
      </w:pPr>
    </w:p>
    <w:p>
      <w:pPr>
        <w:spacing w:after="80" w:before="360"/>
      </w:pPr>
      <w:r>
        <w:rPr>
          <w:rFonts w:ascii="Georgia" w:cs="Georgia" w:eastAsia="Georgia" w:hAnsi="Georgia"/>
          <w:b/>
          <w:bCs/>
          <w:color w:val="1A1210"/>
          <w:sz w:val="28"/>
          <w:szCs w:val="28"/>
        </w:rPr>
        <w:t xml:space="preserve">Executive Summary</w:t>
      </w:r>
    </w:p>
    <w:p>
      <w:pPr>
        <w:pBdr>
          <w:bottom w:val="single" w:color="C8461C" w:sz="6" w:space="1"/>
        </w:pBdr>
        <w:spacing w:after="200" w:before="0"/>
      </w:pPr>
    </w:p>
    <w:p>
      <w:pPr>
        <w:spacing w:after="60" w:before="60" w:line="276"/>
        <w:jc w:val="left"/>
      </w:pPr>
      <w:r>
        <w:rPr>
          <w:rFonts w:ascii="Calibri" w:cs="Calibri" w:eastAsia="Calibri" w:hAnsi="Calibri"/>
          <w:color w:val="1A1210"/>
          <w:sz w:val="21"/>
          <w:szCs w:val="21"/>
        </w:rPr>
        <w:t xml:space="preserve">Maryvale Academy has reached an inflection point. After nearly two decades of steady growth as an independent Catholic school, the board has rightly identified the need to secure a permanent home through a $5 million capital campaign. This is a significant and exciting step, but it also carries significant risk if the fundraising infrastructure is not in place to support it.</w:t>
      </w:r>
    </w:p>
    <w:p>
      <w:pPr>
        <w:spacing w:after="60" w:before="60" w:line="276"/>
        <w:jc w:val="left"/>
      </w:pPr>
      <w:r>
        <w:rPr>
          <w:rFonts w:ascii="Calibri" w:cs="Calibri" w:eastAsia="Calibri" w:hAnsi="Calibri"/>
          <w:color w:val="1A1210"/>
          <w:sz w:val="21"/>
          <w:szCs w:val="21"/>
        </w:rPr>
        <w:t xml:space="preserve">A development audit is the essential first step. Before launching any campaign, an organization needs a clear, honest picture of its current fundraising capacity: what is working, what is missing, and what must be built before major donor solicitation begins. This proposal outlines the scope, methodology, timeline, deliverables, and investment for a comprehensive development audit and strategic plan for Maryvale Academy.</w:t>
      </w:r>
    </w:p>
    <w:p>
      <w:pPr>
        <w:spacing w:after="60" w:before="60" w:line="276"/>
        <w:jc w:val="left"/>
      </w:pPr>
      <w:r>
        <w:rPr>
          <w:rFonts w:ascii="Calibri" w:cs="Calibri" w:eastAsia="Calibri" w:hAnsi="Calibri"/>
          <w:color w:val="1A1210"/>
          <w:sz w:val="21"/>
          <w:szCs w:val="21"/>
        </w:rPr>
        <w:t xml:space="preserve">The audit will assess Maryvale's fundraising culture, board engagement, donor data, communications, stewardship practices, and campaign readiness. The result will be a prioritized roadmap that positions the school to pursue its capital campaign with confidence, credibility, and a realistic understanding of what success will require.</w:t>
      </w:r>
    </w:p>
    <w:p>
      <w:pPr>
        <w:spacing w:after="80" w:before="360"/>
      </w:pPr>
      <w:r>
        <w:rPr>
          <w:rFonts w:ascii="Georgia" w:cs="Georgia" w:eastAsia="Georgia" w:hAnsi="Georgia"/>
          <w:b/>
          <w:bCs/>
          <w:color w:val="1A1210"/>
          <w:sz w:val="28"/>
          <w:szCs w:val="28"/>
        </w:rPr>
        <w:t xml:space="preserve">Context</w:t>
      </w:r>
    </w:p>
    <w:p>
      <w:pPr>
        <w:pBdr>
          <w:bottom w:val="single" w:color="C8461C" w:sz="6" w:space="1"/>
        </w:pBdr>
        <w:spacing w:after="200" w:before="0"/>
      </w:pPr>
    </w:p>
    <w:p>
      <w:pPr>
        <w:spacing w:after="60" w:before="60" w:line="276"/>
        <w:jc w:val="left"/>
      </w:pPr>
      <w:r>
        <w:rPr>
          <w:rFonts w:ascii="Calibri" w:cs="Calibri" w:eastAsia="Calibri" w:hAnsi="Calibri"/>
          <w:color w:val="1A1210"/>
          <w:sz w:val="21"/>
          <w:szCs w:val="21"/>
        </w:rPr>
        <w:t xml:space="preserve">Maryvale Academy of Ottawa is an independent Catholic school serving students from Junior Kindergarten through Grade 8. Founded approximately 20 years ago, the school has grown steadily and now employs 13 full-time staff. Maryvale offers a classically-based curriculum with a strong French program and a Sacred Music Choir, distinguished by its commitment to daily adoration, weekly Mass, and authentically Catholic formation.</w:t>
      </w:r>
    </w:p>
    <w:p>
      <w:pPr>
        <w:spacing w:after="60" w:before="60" w:line="276"/>
        <w:jc w:val="left"/>
      </w:pPr>
      <w:r>
        <w:rPr>
          <w:rFonts w:ascii="Calibri" w:cs="Calibri" w:eastAsia="Calibri" w:hAnsi="Calibri"/>
          <w:color w:val="1A1210"/>
          <w:sz w:val="21"/>
          <w:szCs w:val="21"/>
        </w:rPr>
        <w:t xml:space="preserve">Despite this growth, Maryvale has never owned a building. In its 19 years of operation, it has reported $0 in land and buildings on its CRA filings, paying an estimated $1.8 million in cumulative rent with no equity to show for it. The board has identified a $5 million capital campaign as the path to a permanent facility.</w:t>
      </w:r>
    </w:p>
    <w:p>
      <w:pPr>
        <w:spacing w:after="60" w:before="60" w:line="276"/>
        <w:jc w:val="left"/>
      </w:pPr>
      <w:r>
        <w:rPr>
          <w:rFonts w:ascii="Calibri" w:cs="Calibri" w:eastAsia="Calibri" w:hAnsi="Calibri"/>
          <w:color w:val="1A1210"/>
          <w:sz w:val="21"/>
          <w:szCs w:val="21"/>
        </w:rPr>
        <w:t xml:space="preserve">This is the right goal. But a capital campaign of this scale requires more than ambition. It requires a development infrastructure that can identify, cultivate, and steward major donors over a multi-year period. The audit will determine whether that infrastructure exists, and if not, what needs to be built before the campaign can proceed effectively.</w:t>
      </w:r>
    </w:p>
    <w:p>
      <w:pPr>
        <w:spacing w:after="80" w:before="360"/>
      </w:pPr>
      <w:r>
        <w:rPr>
          <w:rFonts w:ascii="Georgia" w:cs="Georgia" w:eastAsia="Georgia" w:hAnsi="Georgia"/>
          <w:b/>
          <w:bCs/>
          <w:color w:val="1A1210"/>
          <w:sz w:val="28"/>
          <w:szCs w:val="28"/>
        </w:rPr>
        <w:t xml:space="preserve">Scope of Work</w:t>
      </w:r>
    </w:p>
    <w:p>
      <w:pPr>
        <w:pBdr>
          <w:bottom w:val="single" w:color="C8461C" w:sz="6" w:space="1"/>
        </w:pBdr>
        <w:spacing w:after="200" w:before="0"/>
      </w:pPr>
    </w:p>
    <w:p>
      <w:pPr>
        <w:spacing w:after="60" w:before="60" w:line="276"/>
        <w:jc w:val="left"/>
      </w:pPr>
      <w:r>
        <w:rPr>
          <w:rFonts w:ascii="Calibri" w:cs="Calibri" w:eastAsia="Calibri" w:hAnsi="Calibri"/>
          <w:color w:val="1A1210"/>
          <w:sz w:val="21"/>
          <w:szCs w:val="21"/>
        </w:rPr>
        <w:t xml:space="preserve">The development audit is a comprehensive assessment of Maryvale Academy's fundraising capacity, organizational culture, and campaign readiness. It is not a compliance exercise. It is a diagnostic of the beliefs, systems, and relationships that drive (or inhibit) philanthropic investment.</w:t>
      </w:r>
    </w:p>
    <w:p>
      <w:pPr>
        <w:spacing w:after="0" w:before="60"/>
      </w:pPr>
    </w:p>
    <w:p>
      <w:pPr>
        <w:spacing w:after="60" w:before="60" w:line="276"/>
        <w:jc w:val="left"/>
      </w:pPr>
      <w:r>
        <w:rPr>
          <w:rFonts w:ascii="Calibri" w:cs="Calibri" w:eastAsia="Calibri" w:hAnsi="Calibri"/>
          <w:color w:val="1A1210"/>
          <w:sz w:val="21"/>
          <w:szCs w:val="21"/>
        </w:rPr>
        <w:t xml:space="preserve">The audit will examine seven core areas: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FAF7F4" w:val="clear"/>
            <w:tcMar>
              <w:top w:type="dxa" w:w="80"/>
              <w:left w:type="dxa" w:w="120"/>
              <w:bottom w:type="dxa" w:w="80"/>
              <w:right w:type="dxa" w:w="120"/>
            </w:tcMar>
            <w:vAlign w:val="top"/>
          </w:tcPr>
          <w:p>
            <w:pPr>
              <w:spacing w:after="0" w:before="0"/>
            </w:pPr>
            <w:r>
              <w:rPr>
                <w:rFonts w:ascii="Georgia" w:cs="Georgia" w:eastAsia="Georgia" w:hAnsi="Georgia"/>
                <w:b/>
                <w:bCs/>
                <w:color w:val="C8461C"/>
                <w:sz w:val="19"/>
                <w:szCs w:val="19"/>
              </w:rPr>
              <w:t xml:space="preserve">Organizational Culture</w:t>
            </w:r>
          </w:p>
        </w:tc>
        <w:tc>
          <w:tcPr>
            <w:tcW w:type="dxa" w:w="6960"/>
            <w:tcBorders>
              <w:top w:val="none" w:color="FFFFFF" w:sz="0"/>
              <w:left w:val="none" w:color="FFFFFF" w:sz="0"/>
              <w:bottom w:val="none" w:color="FFFFFF" w:sz="0"/>
              <w:right w:val="none" w:color="FFFFFF" w:sz="0"/>
            </w:tcBorders>
            <w:shd w:fill="FAF7F4" w:val="clear"/>
            <w:tcMar>
              <w:top w:type="dxa" w:w="80"/>
              <w:left w:type="dxa" w:w="120"/>
              <w:bottom w:type="dxa" w:w="80"/>
              <w:right w:type="dxa" w:w="120"/>
            </w:tcMar>
          </w:tcPr>
          <w:p>
            <w:pPr>
              <w:spacing w:after="0" w:before="0" w:line="264"/>
            </w:pPr>
            <w:r>
              <w:rPr>
                <w:rFonts w:ascii="Calibri" w:cs="Calibri" w:eastAsia="Calibri" w:hAnsi="Calibri"/>
                <w:color w:val="1A1210"/>
                <w:sz w:val="20"/>
                <w:szCs w:val="20"/>
              </w:rPr>
              <w:t xml:space="preserve">How the school thinks and talks about fundraising; whether development is seen as a shared responsibility or an uncomfortable necessity</w:t>
            </w:r>
          </w:p>
        </w:tc>
      </w:tr>
      <w:tr>
        <w:tc>
          <w:tcPr>
            <w:tcW w:type="dxa" w:w="24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after="0" w:before="0"/>
            </w:pPr>
            <w:r>
              <w:rPr>
                <w:rFonts w:ascii="Georgia" w:cs="Georgia" w:eastAsia="Georgia" w:hAnsi="Georgia"/>
                <w:b/>
                <w:bCs/>
                <w:color w:val="C8461C"/>
                <w:sz w:val="19"/>
                <w:szCs w:val="19"/>
              </w:rPr>
              <w:t xml:space="preserve">Board Engagement</w:t>
            </w:r>
          </w:p>
        </w:tc>
        <w:tc>
          <w:tcPr>
            <w:tcW w:type="dxa" w:w="69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spacing w:after="0" w:before="0" w:line="264"/>
            </w:pPr>
            <w:r>
              <w:rPr>
                <w:rFonts w:ascii="Calibri" w:cs="Calibri" w:eastAsia="Calibri" w:hAnsi="Calibri"/>
                <w:color w:val="1A1210"/>
                <w:sz w:val="20"/>
                <w:szCs w:val="20"/>
              </w:rPr>
              <w:t xml:space="preserve">Board members' understanding of their fundraising role, personal giving, willingness to open doors, and capacity for campaign leadership</w:t>
            </w:r>
          </w:p>
        </w:tc>
      </w:tr>
      <w:tr>
        <w:tc>
          <w:tcPr>
            <w:tcW w:type="dxa" w:w="2400"/>
            <w:tcBorders>
              <w:top w:val="none" w:color="FFFFFF" w:sz="0"/>
              <w:left w:val="none" w:color="FFFFFF" w:sz="0"/>
              <w:bottom w:val="none" w:color="FFFFFF" w:sz="0"/>
              <w:right w:val="none" w:color="FFFFFF" w:sz="0"/>
            </w:tcBorders>
            <w:shd w:fill="FAF7F4" w:val="clear"/>
            <w:tcMar>
              <w:top w:type="dxa" w:w="80"/>
              <w:left w:type="dxa" w:w="120"/>
              <w:bottom w:type="dxa" w:w="80"/>
              <w:right w:type="dxa" w:w="120"/>
            </w:tcMar>
            <w:vAlign w:val="top"/>
          </w:tcPr>
          <w:p>
            <w:pPr>
              <w:spacing w:after="0" w:before="0"/>
            </w:pPr>
            <w:r>
              <w:rPr>
                <w:rFonts w:ascii="Georgia" w:cs="Georgia" w:eastAsia="Georgia" w:hAnsi="Georgia"/>
                <w:b/>
                <w:bCs/>
                <w:color w:val="C8461C"/>
                <w:sz w:val="19"/>
                <w:szCs w:val="19"/>
              </w:rPr>
              <w:t xml:space="preserve">Donor Data &amp; Systems</w:t>
            </w:r>
          </w:p>
        </w:tc>
        <w:tc>
          <w:tcPr>
            <w:tcW w:type="dxa" w:w="6960"/>
            <w:tcBorders>
              <w:top w:val="none" w:color="FFFFFF" w:sz="0"/>
              <w:left w:val="none" w:color="FFFFFF" w:sz="0"/>
              <w:bottom w:val="none" w:color="FFFFFF" w:sz="0"/>
              <w:right w:val="none" w:color="FFFFFF" w:sz="0"/>
            </w:tcBorders>
            <w:shd w:fill="FAF7F4" w:val="clear"/>
            <w:tcMar>
              <w:top w:type="dxa" w:w="80"/>
              <w:left w:type="dxa" w:w="120"/>
              <w:bottom w:type="dxa" w:w="80"/>
              <w:right w:type="dxa" w:w="120"/>
            </w:tcMar>
          </w:tcPr>
          <w:p>
            <w:pPr>
              <w:spacing w:after="0" w:before="0" w:line="264"/>
            </w:pPr>
            <w:r>
              <w:rPr>
                <w:rFonts w:ascii="Calibri" w:cs="Calibri" w:eastAsia="Calibri" w:hAnsi="Calibri"/>
                <w:color w:val="1A1210"/>
                <w:sz w:val="20"/>
                <w:szCs w:val="20"/>
              </w:rPr>
              <w:t xml:space="preserve">Quality and completeness of donor records; CRM usage; segmentation; ability to track giving history, lapsed donors, and prospects</w:t>
            </w:r>
          </w:p>
        </w:tc>
      </w:tr>
      <w:tr>
        <w:tc>
          <w:tcPr>
            <w:tcW w:type="dxa" w:w="24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after="0" w:before="0"/>
            </w:pPr>
            <w:r>
              <w:rPr>
                <w:rFonts w:ascii="Georgia" w:cs="Georgia" w:eastAsia="Georgia" w:hAnsi="Georgia"/>
                <w:b/>
                <w:bCs/>
                <w:color w:val="C8461C"/>
                <w:sz w:val="19"/>
                <w:szCs w:val="19"/>
              </w:rPr>
              <w:t xml:space="preserve">Communications &amp; Storytelling</w:t>
            </w:r>
          </w:p>
        </w:tc>
        <w:tc>
          <w:tcPr>
            <w:tcW w:type="dxa" w:w="69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spacing w:after="0" w:before="0" w:line="264"/>
            </w:pPr>
            <w:r>
              <w:rPr>
                <w:rFonts w:ascii="Calibri" w:cs="Calibri" w:eastAsia="Calibri" w:hAnsi="Calibri"/>
                <w:color w:val="1A1210"/>
                <w:sz w:val="20"/>
                <w:szCs w:val="20"/>
              </w:rPr>
              <w:t xml:space="preserve">Appeal letters, newsletters, impact reports, case for support, website, social media; whether the school is telling a compelling, consistent story</w:t>
            </w:r>
          </w:p>
        </w:tc>
      </w:tr>
      <w:tr>
        <w:tc>
          <w:tcPr>
            <w:tcW w:type="dxa" w:w="2400"/>
            <w:tcBorders>
              <w:top w:val="none" w:color="FFFFFF" w:sz="0"/>
              <w:left w:val="none" w:color="FFFFFF" w:sz="0"/>
              <w:bottom w:val="none" w:color="FFFFFF" w:sz="0"/>
              <w:right w:val="none" w:color="FFFFFF" w:sz="0"/>
            </w:tcBorders>
            <w:shd w:fill="FAF7F4" w:val="clear"/>
            <w:tcMar>
              <w:top w:type="dxa" w:w="80"/>
              <w:left w:type="dxa" w:w="120"/>
              <w:bottom w:type="dxa" w:w="80"/>
              <w:right w:type="dxa" w:w="120"/>
            </w:tcMar>
            <w:vAlign w:val="top"/>
          </w:tcPr>
          <w:p>
            <w:pPr>
              <w:spacing w:after="0" w:before="0"/>
            </w:pPr>
            <w:r>
              <w:rPr>
                <w:rFonts w:ascii="Georgia" w:cs="Georgia" w:eastAsia="Georgia" w:hAnsi="Georgia"/>
                <w:b/>
                <w:bCs/>
                <w:color w:val="C8461C"/>
                <w:sz w:val="19"/>
                <w:szCs w:val="19"/>
              </w:rPr>
              <w:t xml:space="preserve">Fundraising Programs</w:t>
            </w:r>
          </w:p>
        </w:tc>
        <w:tc>
          <w:tcPr>
            <w:tcW w:type="dxa" w:w="6960"/>
            <w:tcBorders>
              <w:top w:val="none" w:color="FFFFFF" w:sz="0"/>
              <w:left w:val="none" w:color="FFFFFF" w:sz="0"/>
              <w:bottom w:val="none" w:color="FFFFFF" w:sz="0"/>
              <w:right w:val="none" w:color="FFFFFF" w:sz="0"/>
            </w:tcBorders>
            <w:shd w:fill="FAF7F4" w:val="clear"/>
            <w:tcMar>
              <w:top w:type="dxa" w:w="80"/>
              <w:left w:type="dxa" w:w="120"/>
              <w:bottom w:type="dxa" w:w="80"/>
              <w:right w:type="dxa" w:w="120"/>
            </w:tcMar>
          </w:tcPr>
          <w:p>
            <w:pPr>
              <w:spacing w:after="0" w:before="0" w:line="264"/>
            </w:pPr>
            <w:r>
              <w:rPr>
                <w:rFonts w:ascii="Calibri" w:cs="Calibri" w:eastAsia="Calibri" w:hAnsi="Calibri"/>
                <w:color w:val="1A1210"/>
                <w:sz w:val="20"/>
                <w:szCs w:val="20"/>
              </w:rPr>
              <w:t xml:space="preserve">Current revenue streams, annual fund structure, events, major gifts, grants, planned giving; diversification and sustainability</w:t>
            </w:r>
          </w:p>
        </w:tc>
      </w:tr>
      <w:tr>
        <w:tc>
          <w:tcPr>
            <w:tcW w:type="dxa" w:w="24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after="0" w:before="0"/>
            </w:pPr>
            <w:r>
              <w:rPr>
                <w:rFonts w:ascii="Georgia" w:cs="Georgia" w:eastAsia="Georgia" w:hAnsi="Georgia"/>
                <w:b/>
                <w:bCs/>
                <w:color w:val="C8461C"/>
                <w:sz w:val="19"/>
                <w:szCs w:val="19"/>
              </w:rPr>
              <w:t xml:space="preserve">Donor Stewardship</w:t>
            </w:r>
          </w:p>
        </w:tc>
        <w:tc>
          <w:tcPr>
            <w:tcW w:type="dxa" w:w="69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spacing w:after="0" w:before="0" w:line="264"/>
            </w:pPr>
            <w:r>
              <w:rPr>
                <w:rFonts w:ascii="Calibri" w:cs="Calibri" w:eastAsia="Calibri" w:hAnsi="Calibri"/>
                <w:color w:val="1A1210"/>
                <w:sz w:val="20"/>
                <w:szCs w:val="20"/>
              </w:rPr>
              <w:t xml:space="preserve">Acknowledgment practices, recognition, reporting, relationship management; whether donors feel valued and informed</w:t>
            </w:r>
          </w:p>
        </w:tc>
      </w:tr>
      <w:tr>
        <w:tc>
          <w:tcPr>
            <w:tcW w:type="dxa" w:w="2400"/>
            <w:tcBorders>
              <w:top w:val="none" w:color="FFFFFF" w:sz="0"/>
              <w:left w:val="none" w:color="FFFFFF" w:sz="0"/>
              <w:bottom w:val="none" w:color="FFFFFF" w:sz="0"/>
              <w:right w:val="none" w:color="FFFFFF" w:sz="0"/>
            </w:tcBorders>
            <w:shd w:fill="FAF7F4" w:val="clear"/>
            <w:tcMar>
              <w:top w:type="dxa" w:w="80"/>
              <w:left w:type="dxa" w:w="120"/>
              <w:bottom w:type="dxa" w:w="80"/>
              <w:right w:type="dxa" w:w="120"/>
            </w:tcMar>
            <w:vAlign w:val="top"/>
          </w:tcPr>
          <w:p>
            <w:pPr>
              <w:spacing w:after="0" w:before="0"/>
            </w:pPr>
            <w:r>
              <w:rPr>
                <w:rFonts w:ascii="Georgia" w:cs="Georgia" w:eastAsia="Georgia" w:hAnsi="Georgia"/>
                <w:b/>
                <w:bCs/>
                <w:color w:val="C8461C"/>
                <w:sz w:val="19"/>
                <w:szCs w:val="19"/>
              </w:rPr>
              <w:t xml:space="preserve">Campaign Readiness</w:t>
            </w:r>
          </w:p>
        </w:tc>
        <w:tc>
          <w:tcPr>
            <w:tcW w:type="dxa" w:w="6960"/>
            <w:tcBorders>
              <w:top w:val="none" w:color="FFFFFF" w:sz="0"/>
              <w:left w:val="none" w:color="FFFFFF" w:sz="0"/>
              <w:bottom w:val="none" w:color="FFFFFF" w:sz="0"/>
              <w:right w:val="none" w:color="FFFFFF" w:sz="0"/>
            </w:tcBorders>
            <w:shd w:fill="FAF7F4" w:val="clear"/>
            <w:tcMar>
              <w:top w:type="dxa" w:w="80"/>
              <w:left w:type="dxa" w:w="120"/>
              <w:bottom w:type="dxa" w:w="80"/>
              <w:right w:type="dxa" w:w="120"/>
            </w:tcMar>
          </w:tcPr>
          <w:p>
            <w:pPr>
              <w:spacing w:after="0" w:before="0" w:line="264"/>
            </w:pPr>
            <w:r>
              <w:rPr>
                <w:rFonts w:ascii="Calibri" w:cs="Calibri" w:eastAsia="Calibri" w:hAnsi="Calibri"/>
                <w:color w:val="1A1210"/>
                <w:sz w:val="20"/>
                <w:szCs w:val="20"/>
              </w:rPr>
              <w:t xml:space="preserve">Feasibility of the $5M capital campaign; donor base depth, leadership gift potential, case strength, board capacity, and organizational discipline</w:t>
            </w:r>
          </w:p>
        </w:tc>
      </w:tr>
    </w:tbl>
    <w:p>
      <w:pPr>
        <w:spacing w:after="0" w:before="100"/>
      </w:pPr>
    </w:p>
    <w:p>
      <w:pPr>
        <w:spacing w:after="60" w:before="60" w:line="276"/>
        <w:jc w:val="left"/>
      </w:pPr>
      <w:r>
        <w:rPr>
          <w:rFonts w:ascii="Calibri" w:cs="Calibri" w:eastAsia="Calibri" w:hAnsi="Calibri"/>
          <w:b/>
          <w:bCs/>
          <w:color w:val="1A1210"/>
          <w:sz w:val="21"/>
          <w:szCs w:val="21"/>
        </w:rPr>
        <w:t xml:space="preserve">Capital campaign readiness </w:t>
      </w:r>
      <w:r>
        <w:rPr>
          <w:rFonts w:ascii="Calibri" w:cs="Calibri" w:eastAsia="Calibri" w:hAnsi="Calibri"/>
          <w:color w:val="1A1210"/>
          <w:sz w:val="21"/>
          <w:szCs w:val="21"/>
        </w:rPr>
        <w:t xml:space="preserve">receives particular emphasis in this engagement. The audit will assess whether the school has the donor base, board capacity, case for support, and organizational discipline to sustain a multi-year, multi-million-dollar campaign, and will identify specific gaps that must be addressed before a quiet phase can begin.</w:t>
      </w:r>
    </w:p>
    <w:p>
      <w:pPr>
        <w:spacing w:after="80" w:before="360"/>
      </w:pPr>
      <w:r>
        <w:rPr>
          <w:rFonts w:ascii="Georgia" w:cs="Georgia" w:eastAsia="Georgia" w:hAnsi="Georgia"/>
          <w:b/>
          <w:bCs/>
          <w:color w:val="1A1210"/>
          <w:sz w:val="28"/>
          <w:szCs w:val="28"/>
        </w:rPr>
        <w:t xml:space="preserve">Methodology</w:t>
      </w:r>
    </w:p>
    <w:p>
      <w:pPr>
        <w:pBdr>
          <w:bottom w:val="single" w:color="C8461C" w:sz="6" w:space="1"/>
        </w:pBdr>
        <w:spacing w:after="200" w:before="0"/>
      </w:pPr>
    </w:p>
    <w:p>
      <w:pPr>
        <w:spacing w:after="60" w:before="60" w:line="276"/>
        <w:jc w:val="left"/>
      </w:pPr>
      <w:r>
        <w:rPr>
          <w:rFonts w:ascii="Calibri" w:cs="Calibri" w:eastAsia="Calibri" w:hAnsi="Calibri"/>
          <w:color w:val="1A1210"/>
          <w:sz w:val="21"/>
          <w:szCs w:val="21"/>
        </w:rPr>
        <w:t xml:space="preserve">The audit follows a four-phase process designed to move from data collection through analysis to actionable recommendations. Total engagement timeline: 6 to 8 weeks from receipt of initial documents.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000"/>
        <w:gridCol w:w="4760"/>
      </w:tblGrid>
      <w:tr>
        <w:tc>
          <w:tcPr>
            <w:tcW w:type="dxa" w:w="1200"/>
            <w:tcBorders>
              <w:top w:val="single" w:color="C8461C" w:sz="2"/>
              <w:left w:val="none" w:color="FFFFFF" w:sz="0"/>
              <w:bottom w:val="single" w:color="C8461C" w:sz="2"/>
              <w:right w:val="none" w:color="FFFFFF" w:sz="0"/>
            </w:tcBorders>
            <w:shd w:fill="1A1210" w:val="clear"/>
            <w:tcMar>
              <w:top w:type="dxa" w:w="100"/>
              <w:left w:type="dxa" w:w="140"/>
              <w:bottom w:type="dxa" w:w="100"/>
              <w:right w:type="dxa" w:w="140"/>
            </w:tcMar>
          </w:tcPr>
          <w:p>
            <w:r>
              <w:rPr>
                <w:rFonts w:ascii="Georgia" w:cs="Georgia" w:eastAsia="Georgia" w:hAnsi="Georgia"/>
                <w:b/>
                <w:bCs/>
                <w:color w:val="FFFFFF"/>
                <w:sz w:val="18"/>
                <w:szCs w:val="18"/>
              </w:rPr>
              <w:t xml:space="preserve">Phase</w:t>
            </w:r>
          </w:p>
        </w:tc>
        <w:tc>
          <w:tcPr>
            <w:tcW w:type="dxa" w:w="1400"/>
            <w:tcBorders>
              <w:top w:val="single" w:color="C8461C" w:sz="2"/>
              <w:left w:val="none" w:color="FFFFFF" w:sz="0"/>
              <w:bottom w:val="single" w:color="C8461C" w:sz="2"/>
              <w:right w:val="none" w:color="FFFFFF" w:sz="0"/>
            </w:tcBorders>
            <w:shd w:fill="1A1210" w:val="clear"/>
            <w:tcMar>
              <w:top w:type="dxa" w:w="100"/>
              <w:left w:type="dxa" w:w="140"/>
              <w:bottom w:type="dxa" w:w="100"/>
              <w:right w:type="dxa" w:w="140"/>
            </w:tcMar>
          </w:tcPr>
          <w:p>
            <w:r>
              <w:rPr>
                <w:rFonts w:ascii="Georgia" w:cs="Georgia" w:eastAsia="Georgia" w:hAnsi="Georgia"/>
                <w:b/>
                <w:bCs/>
                <w:color w:val="FFFFFF"/>
                <w:sz w:val="18"/>
                <w:szCs w:val="18"/>
              </w:rPr>
              <w:t xml:space="preserve">Timeline</w:t>
            </w:r>
          </w:p>
        </w:tc>
        <w:tc>
          <w:tcPr>
            <w:tcW w:type="dxa" w:w="2000"/>
            <w:tcBorders>
              <w:top w:val="single" w:color="C8461C" w:sz="2"/>
              <w:left w:val="none" w:color="FFFFFF" w:sz="0"/>
              <w:bottom w:val="single" w:color="C8461C" w:sz="2"/>
              <w:right w:val="none" w:color="FFFFFF" w:sz="0"/>
            </w:tcBorders>
            <w:shd w:fill="1A1210" w:val="clear"/>
            <w:tcMar>
              <w:top w:type="dxa" w:w="100"/>
              <w:left w:type="dxa" w:w="140"/>
              <w:bottom w:type="dxa" w:w="100"/>
              <w:right w:type="dxa" w:w="140"/>
            </w:tcMar>
          </w:tcPr>
          <w:p>
            <w:r>
              <w:rPr>
                <w:rFonts w:ascii="Georgia" w:cs="Georgia" w:eastAsia="Georgia" w:hAnsi="Georgia"/>
                <w:b/>
                <w:bCs/>
                <w:color w:val="FFFFFF"/>
                <w:sz w:val="18"/>
                <w:szCs w:val="18"/>
              </w:rPr>
              <w:t xml:space="preserve">Focus</w:t>
            </w:r>
          </w:p>
        </w:tc>
        <w:tc>
          <w:tcPr>
            <w:tcW w:type="dxa" w:w="4760"/>
            <w:tcBorders>
              <w:top w:val="single" w:color="C8461C" w:sz="2"/>
              <w:left w:val="none" w:color="FFFFFF" w:sz="0"/>
              <w:bottom w:val="single" w:color="C8461C" w:sz="2"/>
              <w:right w:val="none" w:color="FFFFFF" w:sz="0"/>
            </w:tcBorders>
            <w:shd w:fill="1A1210" w:val="clear"/>
            <w:tcMar>
              <w:top w:type="dxa" w:w="100"/>
              <w:left w:type="dxa" w:w="140"/>
              <w:bottom w:type="dxa" w:w="100"/>
              <w:right w:type="dxa" w:w="140"/>
            </w:tcMar>
          </w:tcPr>
          <w:p>
            <w:r>
              <w:rPr>
                <w:rFonts w:ascii="Georgia" w:cs="Georgia" w:eastAsia="Georgia" w:hAnsi="Georgia"/>
                <w:b/>
                <w:bCs/>
                <w:color w:val="FFFFFF"/>
                <w:sz w:val="18"/>
                <w:szCs w:val="18"/>
              </w:rPr>
              <w:t xml:space="preserve">Activities</w:t>
            </w:r>
          </w:p>
        </w:tc>
      </w:tr>
      <w:tr>
        <w:tc>
          <w:tcPr>
            <w:tcW w:type="dxa" w:w="1200"/>
            <w:tcBorders>
              <w:top w:val="single" w:color="E8E0D8" w:sz="1"/>
              <w:left w:val="none" w:color="FFFFFF" w:sz="0"/>
              <w:bottom w:val="single" w:color="E8E0D8" w:sz="1"/>
              <w:right w:val="none" w:color="FFFFFF" w:sz="0"/>
            </w:tcBorders>
            <w:shd w:fill="FAF7F4" w:val="clear"/>
            <w:tcMar>
              <w:top w:type="dxa" w:w="100"/>
              <w:left w:type="dxa" w:w="140"/>
              <w:bottom w:type="dxa" w:w="100"/>
              <w:right w:type="dxa" w:w="140"/>
            </w:tcMar>
          </w:tcPr>
          <w:p>
            <w:r>
              <w:rPr>
                <w:rFonts w:ascii="Georgia" w:cs="Georgia" w:eastAsia="Georgia" w:hAnsi="Georgia"/>
                <w:b/>
                <w:bCs/>
                <w:color w:val="C8461C"/>
                <w:sz w:val="19"/>
                <w:szCs w:val="19"/>
              </w:rPr>
              <w:t xml:space="preserve">Phase 1</w:t>
            </w:r>
          </w:p>
        </w:tc>
        <w:tc>
          <w:tcPr>
            <w:tcW w:type="dxa" w:w="1400"/>
            <w:tcBorders>
              <w:top w:val="single" w:color="E8E0D8" w:sz="1"/>
              <w:left w:val="none" w:color="FFFFFF" w:sz="0"/>
              <w:bottom w:val="single" w:color="E8E0D8" w:sz="1"/>
              <w:right w:val="none" w:color="FFFFFF" w:sz="0"/>
            </w:tcBorders>
            <w:shd w:fill="FAF7F4" w:val="clear"/>
            <w:tcMar>
              <w:top w:type="dxa" w:w="100"/>
              <w:left w:type="dxa" w:w="140"/>
              <w:bottom w:type="dxa" w:w="100"/>
              <w:right w:type="dxa" w:w="140"/>
            </w:tcMar>
          </w:tcPr>
          <w:p>
            <w:r>
              <w:rPr>
                <w:rFonts w:ascii="Calibri" w:cs="Calibri" w:eastAsia="Calibri" w:hAnsi="Calibri"/>
                <w:color w:val="6B5E54"/>
                <w:sz w:val="19"/>
                <w:szCs w:val="19"/>
              </w:rPr>
              <w:t xml:space="preserve">Weeks 1-2</w:t>
            </w:r>
          </w:p>
        </w:tc>
        <w:tc>
          <w:tcPr>
            <w:tcW w:type="dxa" w:w="2000"/>
            <w:tcBorders>
              <w:top w:val="single" w:color="E8E0D8" w:sz="1"/>
              <w:left w:val="none" w:color="FFFFFF" w:sz="0"/>
              <w:bottom w:val="single" w:color="E8E0D8" w:sz="1"/>
              <w:right w:val="none" w:color="FFFFFF" w:sz="0"/>
            </w:tcBorders>
            <w:shd w:fill="FAF7F4" w:val="clear"/>
            <w:tcMar>
              <w:top w:type="dxa" w:w="100"/>
              <w:left w:type="dxa" w:w="140"/>
              <w:bottom w:type="dxa" w:w="100"/>
              <w:right w:type="dxa" w:w="140"/>
            </w:tcMar>
          </w:tcPr>
          <w:p>
            <w:r>
              <w:rPr>
                <w:rFonts w:ascii="Calibri" w:cs="Calibri" w:eastAsia="Calibri" w:hAnsi="Calibri"/>
                <w:b/>
                <w:bCs/>
                <w:color w:val="1A1210"/>
                <w:sz w:val="19"/>
                <w:szCs w:val="19"/>
              </w:rPr>
              <w:t xml:space="preserve">Document &amp; Data Collection</w:t>
            </w:r>
          </w:p>
        </w:tc>
        <w:tc>
          <w:tcPr>
            <w:tcW w:type="dxa" w:w="4760"/>
            <w:tcBorders>
              <w:top w:val="single" w:color="E8E0D8" w:sz="1"/>
              <w:left w:val="none" w:color="FFFFFF" w:sz="0"/>
              <w:bottom w:val="single" w:color="E8E0D8" w:sz="1"/>
              <w:right w:val="none" w:color="FFFFFF" w:sz="0"/>
            </w:tcBorders>
            <w:shd w:fill="FAF7F4" w:val="clear"/>
            <w:tcMar>
              <w:top w:type="dxa" w:w="100"/>
              <w:left w:type="dxa" w:w="140"/>
              <w:bottom w:type="dxa" w:w="100"/>
              <w:right w:type="dxa" w:w="140"/>
            </w:tcMar>
          </w:tcPr>
          <w:p>
            <w:pPr>
              <w:spacing w:line="264"/>
            </w:pPr>
            <w:r>
              <w:rPr>
                <w:rFonts w:ascii="Calibri" w:cs="Calibri" w:eastAsia="Calibri" w:hAnsi="Calibri"/>
                <w:color w:val="1A1210"/>
                <w:sz w:val="19"/>
                <w:szCs w:val="19"/>
              </w:rPr>
              <w:t xml:space="preserve">Gather financial statements, donor data exports, communications samples, board rosters, and governance documents. Issue stakeholder interview invitations. Begin preliminary analysis of T3010 filings and CRA data.</w:t>
            </w:r>
          </w:p>
        </w:tc>
      </w:tr>
      <w:tr>
        <w:tc>
          <w:tcPr>
            <w:tcW w:type="dxa" w:w="1200"/>
            <w:tcBorders>
              <w:top w:val="single" w:color="E8E0D8" w:sz="1"/>
              <w:left w:val="none" w:color="FFFFFF" w:sz="0"/>
              <w:bottom w:val="single" w:color="E8E0D8" w:sz="1"/>
              <w:right w:val="none" w:color="FFFFFF" w:sz="0"/>
            </w:tcBorders>
            <w:shd w:fill="FFFFFF" w:val="clear"/>
            <w:tcMar>
              <w:top w:type="dxa" w:w="100"/>
              <w:left w:type="dxa" w:w="140"/>
              <w:bottom w:type="dxa" w:w="100"/>
              <w:right w:type="dxa" w:w="140"/>
            </w:tcMar>
          </w:tcPr>
          <w:p>
            <w:r>
              <w:rPr>
                <w:rFonts w:ascii="Georgia" w:cs="Georgia" w:eastAsia="Georgia" w:hAnsi="Georgia"/>
                <w:b/>
                <w:bCs/>
                <w:color w:val="C8461C"/>
                <w:sz w:val="19"/>
                <w:szCs w:val="19"/>
              </w:rPr>
              <w:t xml:space="preserve">Phase 2</w:t>
            </w:r>
          </w:p>
        </w:tc>
        <w:tc>
          <w:tcPr>
            <w:tcW w:type="dxa" w:w="1400"/>
            <w:tcBorders>
              <w:top w:val="single" w:color="E8E0D8" w:sz="1"/>
              <w:left w:val="none" w:color="FFFFFF" w:sz="0"/>
              <w:bottom w:val="single" w:color="E8E0D8" w:sz="1"/>
              <w:right w:val="none" w:color="FFFFFF" w:sz="0"/>
            </w:tcBorders>
            <w:shd w:fill="FFFFFF" w:val="clear"/>
            <w:tcMar>
              <w:top w:type="dxa" w:w="100"/>
              <w:left w:type="dxa" w:w="140"/>
              <w:bottom w:type="dxa" w:w="100"/>
              <w:right w:type="dxa" w:w="140"/>
            </w:tcMar>
          </w:tcPr>
          <w:p>
            <w:r>
              <w:rPr>
                <w:rFonts w:ascii="Calibri" w:cs="Calibri" w:eastAsia="Calibri" w:hAnsi="Calibri"/>
                <w:color w:val="6B5E54"/>
                <w:sz w:val="19"/>
                <w:szCs w:val="19"/>
              </w:rPr>
              <w:t xml:space="preserve">Weeks 2-3</w:t>
            </w:r>
          </w:p>
        </w:tc>
        <w:tc>
          <w:tcPr>
            <w:tcW w:type="dxa" w:w="2000"/>
            <w:tcBorders>
              <w:top w:val="single" w:color="E8E0D8" w:sz="1"/>
              <w:left w:val="none" w:color="FFFFFF" w:sz="0"/>
              <w:bottom w:val="single" w:color="E8E0D8" w:sz="1"/>
              <w:right w:val="none" w:color="FFFFFF" w:sz="0"/>
            </w:tcBorders>
            <w:shd w:fill="FFFFFF" w:val="clear"/>
            <w:tcMar>
              <w:top w:type="dxa" w:w="100"/>
              <w:left w:type="dxa" w:w="140"/>
              <w:bottom w:type="dxa" w:w="100"/>
              <w:right w:type="dxa" w:w="140"/>
            </w:tcMar>
          </w:tcPr>
          <w:p>
            <w:r>
              <w:rPr>
                <w:rFonts w:ascii="Calibri" w:cs="Calibri" w:eastAsia="Calibri" w:hAnsi="Calibri"/>
                <w:b/>
                <w:bCs/>
                <w:color w:val="1A1210"/>
                <w:sz w:val="19"/>
                <w:szCs w:val="19"/>
              </w:rPr>
              <w:t xml:space="preserve">On-Site Discovery</w:t>
            </w:r>
          </w:p>
        </w:tc>
        <w:tc>
          <w:tcPr>
            <w:tcW w:type="dxa" w:w="4760"/>
            <w:tcBorders>
              <w:top w:val="single" w:color="E8E0D8" w:sz="1"/>
              <w:left w:val="none" w:color="FFFFFF" w:sz="0"/>
              <w:bottom w:val="single" w:color="E8E0D8" w:sz="1"/>
              <w:right w:val="none" w:color="FFFFFF" w:sz="0"/>
            </w:tcBorders>
            <w:shd w:fill="FFFFFF" w:val="clear"/>
            <w:tcMar>
              <w:top w:type="dxa" w:w="100"/>
              <w:left w:type="dxa" w:w="140"/>
              <w:bottom w:type="dxa" w:w="100"/>
              <w:right w:type="dxa" w:w="140"/>
            </w:tcMar>
          </w:tcPr>
          <w:p>
            <w:pPr>
              <w:spacing w:line="264"/>
            </w:pPr>
            <w:r>
              <w:rPr>
                <w:rFonts w:ascii="Calibri" w:cs="Calibri" w:eastAsia="Calibri" w:hAnsi="Calibri"/>
                <w:color w:val="1A1210"/>
                <w:sz w:val="19"/>
                <w:szCs w:val="19"/>
              </w:rPr>
              <w:t xml:space="preserve">Two-day visit to Ottawa for stakeholder interviews, campus tour, and board working session. This phase generates the qualitative insights that give the quantitative data its meaning.</w:t>
            </w:r>
          </w:p>
        </w:tc>
      </w:tr>
      <w:tr>
        <w:tc>
          <w:tcPr>
            <w:tcW w:type="dxa" w:w="1200"/>
            <w:tcBorders>
              <w:top w:val="single" w:color="E8E0D8" w:sz="1"/>
              <w:left w:val="none" w:color="FFFFFF" w:sz="0"/>
              <w:bottom w:val="single" w:color="E8E0D8" w:sz="1"/>
              <w:right w:val="none" w:color="FFFFFF" w:sz="0"/>
            </w:tcBorders>
            <w:shd w:fill="FAF7F4" w:val="clear"/>
            <w:tcMar>
              <w:top w:type="dxa" w:w="100"/>
              <w:left w:type="dxa" w:w="140"/>
              <w:bottom w:type="dxa" w:w="100"/>
              <w:right w:type="dxa" w:w="140"/>
            </w:tcMar>
          </w:tcPr>
          <w:p>
            <w:r>
              <w:rPr>
                <w:rFonts w:ascii="Georgia" w:cs="Georgia" w:eastAsia="Georgia" w:hAnsi="Georgia"/>
                <w:b/>
                <w:bCs/>
                <w:color w:val="C8461C"/>
                <w:sz w:val="19"/>
                <w:szCs w:val="19"/>
              </w:rPr>
              <w:t xml:space="preserve">Phase 3</w:t>
            </w:r>
          </w:p>
        </w:tc>
        <w:tc>
          <w:tcPr>
            <w:tcW w:type="dxa" w:w="1400"/>
            <w:tcBorders>
              <w:top w:val="single" w:color="E8E0D8" w:sz="1"/>
              <w:left w:val="none" w:color="FFFFFF" w:sz="0"/>
              <w:bottom w:val="single" w:color="E8E0D8" w:sz="1"/>
              <w:right w:val="none" w:color="FFFFFF" w:sz="0"/>
            </w:tcBorders>
            <w:shd w:fill="FAF7F4" w:val="clear"/>
            <w:tcMar>
              <w:top w:type="dxa" w:w="100"/>
              <w:left w:type="dxa" w:w="140"/>
              <w:bottom w:type="dxa" w:w="100"/>
              <w:right w:type="dxa" w:w="140"/>
            </w:tcMar>
          </w:tcPr>
          <w:p>
            <w:r>
              <w:rPr>
                <w:rFonts w:ascii="Calibri" w:cs="Calibri" w:eastAsia="Calibri" w:hAnsi="Calibri"/>
                <w:color w:val="6B5E54"/>
                <w:sz w:val="19"/>
                <w:szCs w:val="19"/>
              </w:rPr>
              <w:t xml:space="preserve">Weeks 3-5</w:t>
            </w:r>
          </w:p>
        </w:tc>
        <w:tc>
          <w:tcPr>
            <w:tcW w:type="dxa" w:w="2000"/>
            <w:tcBorders>
              <w:top w:val="single" w:color="E8E0D8" w:sz="1"/>
              <w:left w:val="none" w:color="FFFFFF" w:sz="0"/>
              <w:bottom w:val="single" w:color="E8E0D8" w:sz="1"/>
              <w:right w:val="none" w:color="FFFFFF" w:sz="0"/>
            </w:tcBorders>
            <w:shd w:fill="FAF7F4" w:val="clear"/>
            <w:tcMar>
              <w:top w:type="dxa" w:w="100"/>
              <w:left w:type="dxa" w:w="140"/>
              <w:bottom w:type="dxa" w:w="100"/>
              <w:right w:type="dxa" w:w="140"/>
            </w:tcMar>
          </w:tcPr>
          <w:p>
            <w:r>
              <w:rPr>
                <w:rFonts w:ascii="Calibri" w:cs="Calibri" w:eastAsia="Calibri" w:hAnsi="Calibri"/>
                <w:b/>
                <w:bCs/>
                <w:color w:val="1A1210"/>
                <w:sz w:val="19"/>
                <w:szCs w:val="19"/>
              </w:rPr>
              <w:t xml:space="preserve">Analysis &amp; Benchmarking</w:t>
            </w:r>
          </w:p>
        </w:tc>
        <w:tc>
          <w:tcPr>
            <w:tcW w:type="dxa" w:w="4760"/>
            <w:tcBorders>
              <w:top w:val="single" w:color="E8E0D8" w:sz="1"/>
              <w:left w:val="none" w:color="FFFFFF" w:sz="0"/>
              <w:bottom w:val="single" w:color="E8E0D8" w:sz="1"/>
              <w:right w:val="none" w:color="FFFFFF" w:sz="0"/>
            </w:tcBorders>
            <w:shd w:fill="FAF7F4" w:val="clear"/>
            <w:tcMar>
              <w:top w:type="dxa" w:w="100"/>
              <w:left w:type="dxa" w:w="140"/>
              <w:bottom w:type="dxa" w:w="100"/>
              <w:right w:type="dxa" w:w="140"/>
            </w:tcMar>
          </w:tcPr>
          <w:p>
            <w:pPr>
              <w:spacing w:line="264"/>
            </w:pPr>
            <w:r>
              <w:rPr>
                <w:rFonts w:ascii="Calibri" w:cs="Calibri" w:eastAsia="Calibri" w:hAnsi="Calibri"/>
                <w:color w:val="1A1210"/>
                <w:sz w:val="19"/>
                <w:szCs w:val="19"/>
              </w:rPr>
              <w:t xml:space="preserve">Analyze donor retention, giving patterns, revenue diversification, cost-per-dollar-raised, and peer benchmarks. Synthesize interview findings with data analysis. Identify patterns, gaps, and opportunities.</w:t>
            </w:r>
          </w:p>
        </w:tc>
      </w:tr>
      <w:tr>
        <w:tc>
          <w:tcPr>
            <w:tcW w:type="dxa" w:w="1200"/>
            <w:tcBorders>
              <w:top w:val="single" w:color="E8E0D8" w:sz="1"/>
              <w:left w:val="none" w:color="FFFFFF" w:sz="0"/>
              <w:bottom w:val="single" w:color="E8E0D8" w:sz="1"/>
              <w:right w:val="none" w:color="FFFFFF" w:sz="0"/>
            </w:tcBorders>
            <w:shd w:fill="FFFFFF" w:val="clear"/>
            <w:tcMar>
              <w:top w:type="dxa" w:w="100"/>
              <w:left w:type="dxa" w:w="140"/>
              <w:bottom w:type="dxa" w:w="100"/>
              <w:right w:type="dxa" w:w="140"/>
            </w:tcMar>
          </w:tcPr>
          <w:p>
            <w:r>
              <w:rPr>
                <w:rFonts w:ascii="Georgia" w:cs="Georgia" w:eastAsia="Georgia" w:hAnsi="Georgia"/>
                <w:b/>
                <w:bCs/>
                <w:color w:val="C8461C"/>
                <w:sz w:val="19"/>
                <w:szCs w:val="19"/>
              </w:rPr>
              <w:t xml:space="preserve">Phase 4</w:t>
            </w:r>
          </w:p>
        </w:tc>
        <w:tc>
          <w:tcPr>
            <w:tcW w:type="dxa" w:w="1400"/>
            <w:tcBorders>
              <w:top w:val="single" w:color="E8E0D8" w:sz="1"/>
              <w:left w:val="none" w:color="FFFFFF" w:sz="0"/>
              <w:bottom w:val="single" w:color="E8E0D8" w:sz="1"/>
              <w:right w:val="none" w:color="FFFFFF" w:sz="0"/>
            </w:tcBorders>
            <w:shd w:fill="FFFFFF" w:val="clear"/>
            <w:tcMar>
              <w:top w:type="dxa" w:w="100"/>
              <w:left w:type="dxa" w:w="140"/>
              <w:bottom w:type="dxa" w:w="100"/>
              <w:right w:type="dxa" w:w="140"/>
            </w:tcMar>
          </w:tcPr>
          <w:p>
            <w:r>
              <w:rPr>
                <w:rFonts w:ascii="Calibri" w:cs="Calibri" w:eastAsia="Calibri" w:hAnsi="Calibri"/>
                <w:color w:val="6B5E54"/>
                <w:sz w:val="19"/>
                <w:szCs w:val="19"/>
              </w:rPr>
              <w:t xml:space="preserve">Weeks 6-8</w:t>
            </w:r>
          </w:p>
        </w:tc>
        <w:tc>
          <w:tcPr>
            <w:tcW w:type="dxa" w:w="2000"/>
            <w:tcBorders>
              <w:top w:val="single" w:color="E8E0D8" w:sz="1"/>
              <w:left w:val="none" w:color="FFFFFF" w:sz="0"/>
              <w:bottom w:val="single" w:color="E8E0D8" w:sz="1"/>
              <w:right w:val="none" w:color="FFFFFF" w:sz="0"/>
            </w:tcBorders>
            <w:shd w:fill="FFFFFF" w:val="clear"/>
            <w:tcMar>
              <w:top w:type="dxa" w:w="100"/>
              <w:left w:type="dxa" w:w="140"/>
              <w:bottom w:type="dxa" w:w="100"/>
              <w:right w:type="dxa" w:w="140"/>
            </w:tcMar>
          </w:tcPr>
          <w:p>
            <w:r>
              <w:rPr>
                <w:rFonts w:ascii="Calibri" w:cs="Calibri" w:eastAsia="Calibri" w:hAnsi="Calibri"/>
                <w:b/>
                <w:bCs/>
                <w:color w:val="1A1210"/>
                <w:sz w:val="19"/>
                <w:szCs w:val="19"/>
              </w:rPr>
              <w:t xml:space="preserve">Report &amp; Presentation</w:t>
            </w:r>
          </w:p>
        </w:tc>
        <w:tc>
          <w:tcPr>
            <w:tcW w:type="dxa" w:w="4760"/>
            <w:tcBorders>
              <w:top w:val="single" w:color="E8E0D8" w:sz="1"/>
              <w:left w:val="none" w:color="FFFFFF" w:sz="0"/>
              <w:bottom w:val="single" w:color="E8E0D8" w:sz="1"/>
              <w:right w:val="none" w:color="FFFFFF" w:sz="0"/>
            </w:tcBorders>
            <w:shd w:fill="FFFFFF" w:val="clear"/>
            <w:tcMar>
              <w:top w:type="dxa" w:w="100"/>
              <w:left w:type="dxa" w:w="140"/>
              <w:bottom w:type="dxa" w:w="100"/>
              <w:right w:type="dxa" w:w="140"/>
            </w:tcMar>
          </w:tcPr>
          <w:p>
            <w:pPr>
              <w:spacing w:line="264"/>
            </w:pPr>
            <w:r>
              <w:rPr>
                <w:rFonts w:ascii="Calibri" w:cs="Calibri" w:eastAsia="Calibri" w:hAnsi="Calibri"/>
                <w:color w:val="1A1210"/>
                <w:sz w:val="19"/>
                <w:szCs w:val="19"/>
              </w:rPr>
              <w:t xml:space="preserve">Draft written report and strategic plan. Review with primary contact for factual accuracy. Deliver final report and present findings to the board in person or via video.</w:t>
            </w:r>
          </w:p>
        </w:tc>
      </w:tr>
    </w:tbl>
    <w:p>
      <w:pPr>
        <w:spacing w:after="0" w:before="80"/>
      </w:pPr>
    </w:p>
    <w:p>
      <w:pPr>
        <w:spacing w:after="80" w:before="360"/>
      </w:pPr>
      <w:r>
        <w:rPr>
          <w:rFonts w:ascii="Georgia" w:cs="Georgia" w:eastAsia="Georgia" w:hAnsi="Georgia"/>
          <w:b/>
          <w:bCs/>
          <w:color w:val="1A1210"/>
          <w:sz w:val="28"/>
          <w:szCs w:val="28"/>
        </w:rPr>
        <w:t xml:space="preserve">On-Site Visit</w:t>
      </w:r>
    </w:p>
    <w:p>
      <w:pPr>
        <w:pBdr>
          <w:bottom w:val="single" w:color="C8461C" w:sz="6" w:space="1"/>
        </w:pBdr>
        <w:spacing w:after="200" w:before="0"/>
      </w:pPr>
    </w:p>
    <w:p>
      <w:pPr>
        <w:spacing w:after="60" w:before="60" w:line="276"/>
        <w:jc w:val="left"/>
      </w:pPr>
      <w:r>
        <w:rPr>
          <w:rFonts w:ascii="Calibri" w:cs="Calibri" w:eastAsia="Calibri" w:hAnsi="Calibri"/>
          <w:color w:val="1A1210"/>
          <w:sz w:val="21"/>
          <w:szCs w:val="21"/>
        </w:rPr>
        <w:t xml:space="preserve">A two-day on-site visit to Ottawa is included in this engagement. The visit serves three purposes that cannot be replicated remotely:</w:t>
      </w:r>
    </w:p>
    <w:p>
      <w:pPr>
        <w:spacing w:after="0" w:before="40"/>
      </w:pPr>
    </w:p>
    <w:p>
      <w:pPr>
        <w:pStyle w:val="ListParagraph"/>
        <w:numPr>
          <w:ilvl w:val="0"/>
          <w:numId w:val="2"/>
        </w:numPr>
        <w:spacing w:after="80" w:before="40" w:line="264"/>
      </w:pPr>
      <w:r>
        <w:rPr>
          <w:rFonts w:ascii="Calibri" w:cs="Calibri" w:eastAsia="Calibri" w:hAnsi="Calibri"/>
          <w:b/>
          <w:bCs/>
          <w:color w:val="1A1210"/>
          <w:sz w:val="21"/>
          <w:szCs w:val="21"/>
        </w:rPr>
        <w:t xml:space="preserve">Stakeholder interviews. </w:t>
      </w:r>
      <w:r>
        <w:rPr>
          <w:rFonts w:ascii="Calibri" w:cs="Calibri" w:eastAsia="Calibri" w:hAnsi="Calibri"/>
          <w:color w:val="1A1210"/>
          <w:sz w:val="21"/>
          <w:szCs w:val="21"/>
        </w:rPr>
        <w:t xml:space="preserve">One-on-one conversations with board members, the executive director, key staff, and (where appropriate) select donors or volunteers. These interviews are the most diagnostic element of the audit. How people talk about fundraising reveals far more than any spreadsheet.</w:t>
      </w:r>
    </w:p>
    <w:p>
      <w:pPr>
        <w:pStyle w:val="ListParagraph"/>
        <w:numPr>
          <w:ilvl w:val="0"/>
          <w:numId w:val="2"/>
        </w:numPr>
        <w:spacing w:after="80" w:before="40" w:line="264"/>
      </w:pPr>
      <w:r>
        <w:rPr>
          <w:rFonts w:ascii="Calibri" w:cs="Calibri" w:eastAsia="Calibri" w:hAnsi="Calibri"/>
          <w:b/>
          <w:bCs/>
          <w:color w:val="1A1210"/>
          <w:sz w:val="21"/>
          <w:szCs w:val="21"/>
        </w:rPr>
        <w:t xml:space="preserve">Campus visit. </w:t>
      </w:r>
      <w:r>
        <w:rPr>
          <w:rFonts w:ascii="Calibri" w:cs="Calibri" w:eastAsia="Calibri" w:hAnsi="Calibri"/>
          <w:color w:val="1A1210"/>
          <w:sz w:val="21"/>
          <w:szCs w:val="21"/>
        </w:rPr>
        <w:t xml:space="preserve">Seeing the current facility, understanding the daily experience of families and staff, and assessing what the school communicates through its physical environment. This is essential context for evaluating the capital campaign case.</w:t>
      </w:r>
    </w:p>
    <w:p>
      <w:pPr>
        <w:pStyle w:val="ListParagraph"/>
        <w:numPr>
          <w:ilvl w:val="0"/>
          <w:numId w:val="2"/>
        </w:numPr>
        <w:spacing w:after="80" w:before="40" w:line="264"/>
      </w:pPr>
      <w:r>
        <w:rPr>
          <w:rFonts w:ascii="Calibri" w:cs="Calibri" w:eastAsia="Calibri" w:hAnsi="Calibri"/>
          <w:b/>
          <w:bCs/>
          <w:color w:val="1A1210"/>
          <w:sz w:val="21"/>
          <w:szCs w:val="21"/>
        </w:rPr>
        <w:t xml:space="preserve">Board working session. </w:t>
      </w:r>
      <w:r>
        <w:rPr>
          <w:rFonts w:ascii="Calibri" w:cs="Calibri" w:eastAsia="Calibri" w:hAnsi="Calibri"/>
          <w:color w:val="1A1210"/>
          <w:sz w:val="21"/>
          <w:szCs w:val="21"/>
        </w:rPr>
        <w:t xml:space="preserve">A 60- to 90-minute session with the full board to present initial observations, test assumptions, and begin aligning around priorities. This is not the final presentation; it is a collaborative diagnostic conversation.</w:t>
      </w:r>
    </w:p>
    <w:p>
      <w:pPr>
        <w:spacing w:after="80" w:before="360"/>
      </w:pPr>
      <w:r>
        <w:rPr>
          <w:rFonts w:ascii="Georgia" w:cs="Georgia" w:eastAsia="Georgia" w:hAnsi="Georgia"/>
          <w:b/>
          <w:bCs/>
          <w:color w:val="1A1210"/>
          <w:sz w:val="28"/>
          <w:szCs w:val="28"/>
        </w:rPr>
        <w:t xml:space="preserve">Deliverables</w:t>
      </w:r>
    </w:p>
    <w:p>
      <w:pPr>
        <w:pBdr>
          <w:bottom w:val="single" w:color="C8461C" w:sz="6" w:space="1"/>
        </w:pBdr>
        <w:spacing w:after="200" w:before="0"/>
      </w:pPr>
    </w:p>
    <w:p>
      <w:pPr>
        <w:spacing w:after="60" w:before="60" w:line="276"/>
        <w:jc w:val="left"/>
      </w:pPr>
      <w:r>
        <w:rPr>
          <w:rFonts w:ascii="Calibri" w:cs="Calibri" w:eastAsia="Calibri" w:hAnsi="Calibri"/>
          <w:color w:val="1A1210"/>
          <w:sz w:val="21"/>
          <w:szCs w:val="21"/>
        </w:rPr>
        <w:t xml:space="preserve">Upon completion of the audit, Maryvale Academy will receive:</w:t>
      </w:r>
    </w:p>
    <w:p>
      <w:pPr>
        <w:spacing w:after="0" w:before="40"/>
      </w:pPr>
    </w:p>
    <w:p>
      <w:pPr>
        <w:pStyle w:val="ListParagraph"/>
        <w:numPr>
          <w:ilvl w:val="0"/>
          <w:numId w:val="3"/>
        </w:numPr>
        <w:spacing w:after="80" w:before="40" w:line="264"/>
      </w:pPr>
      <w:r>
        <w:rPr>
          <w:rFonts w:ascii="Calibri" w:cs="Calibri" w:eastAsia="Calibri" w:hAnsi="Calibri"/>
          <w:b/>
          <w:bCs/>
          <w:color w:val="1A1210"/>
          <w:sz w:val="21"/>
          <w:szCs w:val="21"/>
        </w:rPr>
        <w:t xml:space="preserve">Written Audit Report. </w:t>
      </w:r>
      <w:r>
        <w:rPr>
          <w:rFonts w:ascii="Calibri" w:cs="Calibri" w:eastAsia="Calibri" w:hAnsi="Calibri"/>
          <w:color w:val="1A1210"/>
          <w:sz w:val="21"/>
          <w:szCs w:val="21"/>
        </w:rPr>
        <w:t xml:space="preserve">A comprehensive document presenting findings across all seven audit areas, with specific observations, benchmarks, and prioritized recommendations. This is not a generic template; every finding will be specific to Maryvale.</w:t>
      </w:r>
    </w:p>
    <w:p>
      <w:pPr>
        <w:pStyle w:val="ListParagraph"/>
        <w:numPr>
          <w:ilvl w:val="0"/>
          <w:numId w:val="3"/>
        </w:numPr>
        <w:spacing w:after="80" w:before="40" w:line="264"/>
      </w:pPr>
      <w:r>
        <w:rPr>
          <w:rFonts w:ascii="Calibri" w:cs="Calibri" w:eastAsia="Calibri" w:hAnsi="Calibri"/>
          <w:b/>
          <w:bCs/>
          <w:color w:val="1A1210"/>
          <w:sz w:val="21"/>
          <w:szCs w:val="21"/>
        </w:rPr>
        <w:t xml:space="preserve">Strategic Development Plan. </w:t>
      </w:r>
      <w:r>
        <w:rPr>
          <w:rFonts w:ascii="Calibri" w:cs="Calibri" w:eastAsia="Calibri" w:hAnsi="Calibri"/>
          <w:color w:val="1A1210"/>
          <w:sz w:val="21"/>
          <w:szCs w:val="21"/>
        </w:rPr>
        <w:t xml:space="preserve">A phased implementation roadmap with clear milestones, responsibilities, and timelines. The plan will address both immediate capacity-building and longer-term campaign preparation.</w:t>
      </w:r>
    </w:p>
    <w:p>
      <w:pPr>
        <w:pStyle w:val="ListParagraph"/>
        <w:numPr>
          <w:ilvl w:val="0"/>
          <w:numId w:val="3"/>
        </w:numPr>
        <w:spacing w:after="80" w:before="40" w:line="264"/>
      </w:pPr>
      <w:r>
        <w:rPr>
          <w:rFonts w:ascii="Calibri" w:cs="Calibri" w:eastAsia="Calibri" w:hAnsi="Calibri"/>
          <w:b/>
          <w:bCs/>
          <w:color w:val="1A1210"/>
          <w:sz w:val="21"/>
          <w:szCs w:val="21"/>
        </w:rPr>
        <w:t xml:space="preserve">Board Presentation. </w:t>
      </w:r>
      <w:r>
        <w:rPr>
          <w:rFonts w:ascii="Calibri" w:cs="Calibri" w:eastAsia="Calibri" w:hAnsi="Calibri"/>
          <w:color w:val="1A1210"/>
          <w:sz w:val="21"/>
          <w:szCs w:val="21"/>
        </w:rPr>
        <w:t xml:space="preserve">An in-person presentation of findings and recommendations to the full board (or a designated committee). This presentation is designed to build alignment and commitment, not just convey information.</w:t>
      </w:r>
    </w:p>
    <w:p>
      <w:pPr>
        <w:pStyle w:val="ListParagraph"/>
        <w:numPr>
          <w:ilvl w:val="0"/>
          <w:numId w:val="3"/>
        </w:numPr>
        <w:spacing w:after="80" w:before="40" w:line="264"/>
      </w:pPr>
      <w:r>
        <w:rPr>
          <w:rFonts w:ascii="Calibri" w:cs="Calibri" w:eastAsia="Calibri" w:hAnsi="Calibri"/>
          <w:b/>
          <w:bCs/>
          <w:color w:val="1A1210"/>
          <w:sz w:val="21"/>
          <w:szCs w:val="21"/>
        </w:rPr>
        <w:t xml:space="preserve">30-Day Follow-Up. </w:t>
      </w:r>
      <w:r>
        <w:rPr>
          <w:rFonts w:ascii="Calibri" w:cs="Calibri" w:eastAsia="Calibri" w:hAnsi="Calibri"/>
          <w:color w:val="1A1210"/>
          <w:sz w:val="21"/>
          <w:szCs w:val="21"/>
        </w:rPr>
        <w:t xml:space="preserve">One follow-up call 30 days after the board presentation to answer questions, troubleshoot early implementation, and provide additional guidance as needed.</w:t>
      </w:r>
    </w:p>
    <w:p>
      <w:pPr>
        <w:spacing w:after="80" w:before="360"/>
      </w:pPr>
      <w:r>
        <w:rPr>
          <w:rFonts w:ascii="Georgia" w:cs="Georgia" w:eastAsia="Georgia" w:hAnsi="Georgia"/>
          <w:b/>
          <w:bCs/>
          <w:color w:val="1A1210"/>
          <w:sz w:val="28"/>
          <w:szCs w:val="28"/>
        </w:rPr>
        <w:t xml:space="preserve">Timeline</w:t>
      </w:r>
    </w:p>
    <w:p>
      <w:pPr>
        <w:pBdr>
          <w:bottom w:val="single" w:color="C8461C" w:sz="6" w:space="1"/>
        </w:pBd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2400"/>
      </w:tblGrid>
      <w:tr>
        <w:tc>
          <w:tcPr>
            <w:tcW w:type="dxa" w:w="6960"/>
            <w:tcBorders>
              <w:top w:val="single" w:color="E8E0D8" w:sz="1"/>
              <w:left w:val="none" w:color="FFFFFF" w:sz="0"/>
              <w:bottom w:val="single" w:color="E8E0D8" w:sz="1"/>
              <w:right w:val="none" w:color="FFFFFF" w:sz="0"/>
            </w:tcBorders>
            <w:shd w:fill="FAF7F4" w:val="clear"/>
            <w:tcMar>
              <w:top w:type="dxa" w:w="60"/>
              <w:left w:type="dxa" w:w="140"/>
              <w:bottom w:type="dxa" w:w="60"/>
              <w:right w:type="dxa" w:w="140"/>
            </w:tcMar>
          </w:tcPr>
          <w:p>
            <w:r>
              <w:rPr>
                <w:rFonts w:ascii="Calibri" w:cs="Calibri" w:eastAsia="Calibri" w:hAnsi="Calibri"/>
                <w:color w:val="1A1210"/>
                <w:sz w:val="20"/>
                <w:szCs w:val="20"/>
              </w:rPr>
              <w:t xml:space="preserve">Engagement signed</w:t>
            </w:r>
          </w:p>
        </w:tc>
        <w:tc>
          <w:tcPr>
            <w:tcW w:type="dxa" w:w="2400"/>
            <w:tcBorders>
              <w:top w:val="single" w:color="E8E0D8" w:sz="1"/>
              <w:left w:val="none" w:color="FFFFFF" w:sz="0"/>
              <w:bottom w:val="single" w:color="E8E0D8" w:sz="1"/>
              <w:right w:val="none" w:color="FFFFFF" w:sz="0"/>
            </w:tcBorders>
            <w:shd w:fill="FAF7F4" w:val="clear"/>
            <w:tcMar>
              <w:top w:type="dxa" w:w="60"/>
              <w:left w:type="dxa" w:w="140"/>
              <w:bottom w:type="dxa" w:w="60"/>
              <w:right w:type="dxa" w:w="140"/>
            </w:tcMar>
          </w:tcPr>
          <w:p>
            <w:pPr>
              <w:jc w:val="right"/>
            </w:pPr>
            <w:r>
              <w:rPr>
                <w:rFonts w:ascii="Calibri" w:cs="Calibri" w:eastAsia="Calibri" w:hAnsi="Calibri"/>
                <w:color w:val="6B5E54"/>
                <w:sz w:val="20"/>
                <w:szCs w:val="20"/>
              </w:rPr>
              <w:t xml:space="preserve">Week 0</w:t>
            </w:r>
          </w:p>
        </w:tc>
      </w:tr>
      <w:tr>
        <w:tc>
          <w:tcPr>
            <w:tcW w:type="dxa" w:w="6960"/>
            <w:tcBorders>
              <w:top w:val="single" w:color="E8E0D8" w:sz="1"/>
              <w:left w:val="none" w:color="FFFFFF" w:sz="0"/>
              <w:bottom w:val="single" w:color="E8E0D8" w:sz="1"/>
              <w:right w:val="none" w:color="FFFFFF" w:sz="0"/>
            </w:tcBorders>
            <w:shd w:fill="FFFFFF" w:val="clear"/>
            <w:tcMar>
              <w:top w:type="dxa" w:w="60"/>
              <w:left w:type="dxa" w:w="140"/>
              <w:bottom w:type="dxa" w:w="60"/>
              <w:right w:type="dxa" w:w="140"/>
            </w:tcMar>
          </w:tcPr>
          <w:p>
            <w:r>
              <w:rPr>
                <w:rFonts w:ascii="Calibri" w:cs="Calibri" w:eastAsia="Calibri" w:hAnsi="Calibri"/>
                <w:color w:val="1A1210"/>
                <w:sz w:val="20"/>
                <w:szCs w:val="20"/>
              </w:rPr>
              <w:t xml:space="preserve">Document and data request issued</w:t>
            </w:r>
          </w:p>
        </w:tc>
        <w:tc>
          <w:tcPr>
            <w:tcW w:type="dxa" w:w="2400"/>
            <w:tcBorders>
              <w:top w:val="single" w:color="E8E0D8" w:sz="1"/>
              <w:left w:val="none" w:color="FFFFFF" w:sz="0"/>
              <w:bottom w:val="single" w:color="E8E0D8" w:sz="1"/>
              <w:right w:val="none" w:color="FFFFFF" w:sz="0"/>
            </w:tcBorders>
            <w:shd w:fill="FFFFFF" w:val="clear"/>
            <w:tcMar>
              <w:top w:type="dxa" w:w="60"/>
              <w:left w:type="dxa" w:w="140"/>
              <w:bottom w:type="dxa" w:w="60"/>
              <w:right w:type="dxa" w:w="140"/>
            </w:tcMar>
          </w:tcPr>
          <w:p>
            <w:pPr>
              <w:jc w:val="right"/>
            </w:pPr>
            <w:r>
              <w:rPr>
                <w:rFonts w:ascii="Calibri" w:cs="Calibri" w:eastAsia="Calibri" w:hAnsi="Calibri"/>
                <w:color w:val="6B5E54"/>
                <w:sz w:val="20"/>
                <w:szCs w:val="20"/>
              </w:rPr>
              <w:t xml:space="preserve">Week 0</w:t>
            </w:r>
          </w:p>
        </w:tc>
      </w:tr>
      <w:tr>
        <w:tc>
          <w:tcPr>
            <w:tcW w:type="dxa" w:w="6960"/>
            <w:tcBorders>
              <w:top w:val="single" w:color="E8E0D8" w:sz="1"/>
              <w:left w:val="none" w:color="FFFFFF" w:sz="0"/>
              <w:bottom w:val="single" w:color="E8E0D8" w:sz="1"/>
              <w:right w:val="none" w:color="FFFFFF" w:sz="0"/>
            </w:tcBorders>
            <w:shd w:fill="FAF7F4" w:val="clear"/>
            <w:tcMar>
              <w:top w:type="dxa" w:w="60"/>
              <w:left w:type="dxa" w:w="140"/>
              <w:bottom w:type="dxa" w:w="60"/>
              <w:right w:type="dxa" w:w="140"/>
            </w:tcMar>
          </w:tcPr>
          <w:p>
            <w:r>
              <w:rPr>
                <w:rFonts w:ascii="Calibri" w:cs="Calibri" w:eastAsia="Calibri" w:hAnsi="Calibri"/>
                <w:color w:val="1A1210"/>
                <w:sz w:val="20"/>
                <w:szCs w:val="20"/>
              </w:rPr>
              <w:t xml:space="preserve">Initial documents received</w:t>
            </w:r>
          </w:p>
        </w:tc>
        <w:tc>
          <w:tcPr>
            <w:tcW w:type="dxa" w:w="2400"/>
            <w:tcBorders>
              <w:top w:val="single" w:color="E8E0D8" w:sz="1"/>
              <w:left w:val="none" w:color="FFFFFF" w:sz="0"/>
              <w:bottom w:val="single" w:color="E8E0D8" w:sz="1"/>
              <w:right w:val="none" w:color="FFFFFF" w:sz="0"/>
            </w:tcBorders>
            <w:shd w:fill="FAF7F4" w:val="clear"/>
            <w:tcMar>
              <w:top w:type="dxa" w:w="60"/>
              <w:left w:type="dxa" w:w="140"/>
              <w:bottom w:type="dxa" w:w="60"/>
              <w:right w:type="dxa" w:w="140"/>
            </w:tcMar>
          </w:tcPr>
          <w:p>
            <w:pPr>
              <w:jc w:val="right"/>
            </w:pPr>
            <w:r>
              <w:rPr>
                <w:rFonts w:ascii="Calibri" w:cs="Calibri" w:eastAsia="Calibri" w:hAnsi="Calibri"/>
                <w:color w:val="6B5E54"/>
                <w:sz w:val="20"/>
                <w:szCs w:val="20"/>
              </w:rPr>
              <w:t xml:space="preserve">Week 1</w:t>
            </w:r>
          </w:p>
        </w:tc>
      </w:tr>
      <w:tr>
        <w:tc>
          <w:tcPr>
            <w:tcW w:type="dxa" w:w="6960"/>
            <w:tcBorders>
              <w:top w:val="single" w:color="E8E0D8" w:sz="1"/>
              <w:left w:val="none" w:color="FFFFFF" w:sz="0"/>
              <w:bottom w:val="single" w:color="E8E0D8" w:sz="1"/>
              <w:right w:val="none" w:color="FFFFFF" w:sz="0"/>
            </w:tcBorders>
            <w:shd w:fill="FFFFFF" w:val="clear"/>
            <w:tcMar>
              <w:top w:type="dxa" w:w="60"/>
              <w:left w:type="dxa" w:w="140"/>
              <w:bottom w:type="dxa" w:w="60"/>
              <w:right w:type="dxa" w:w="140"/>
            </w:tcMar>
          </w:tcPr>
          <w:p>
            <w:r>
              <w:rPr>
                <w:rFonts w:ascii="Calibri" w:cs="Calibri" w:eastAsia="Calibri" w:hAnsi="Calibri"/>
                <w:color w:val="1A1210"/>
                <w:sz w:val="20"/>
                <w:szCs w:val="20"/>
              </w:rPr>
              <w:t xml:space="preserve">On-site visit (Ottawa, 2 days)</w:t>
            </w:r>
          </w:p>
        </w:tc>
        <w:tc>
          <w:tcPr>
            <w:tcW w:type="dxa" w:w="2400"/>
            <w:tcBorders>
              <w:top w:val="single" w:color="E8E0D8" w:sz="1"/>
              <w:left w:val="none" w:color="FFFFFF" w:sz="0"/>
              <w:bottom w:val="single" w:color="E8E0D8" w:sz="1"/>
              <w:right w:val="none" w:color="FFFFFF" w:sz="0"/>
            </w:tcBorders>
            <w:shd w:fill="FFFFFF" w:val="clear"/>
            <w:tcMar>
              <w:top w:type="dxa" w:w="60"/>
              <w:left w:type="dxa" w:w="140"/>
              <w:bottom w:type="dxa" w:w="60"/>
              <w:right w:type="dxa" w:w="140"/>
            </w:tcMar>
          </w:tcPr>
          <w:p>
            <w:pPr>
              <w:jc w:val="right"/>
            </w:pPr>
            <w:r>
              <w:rPr>
                <w:rFonts w:ascii="Calibri" w:cs="Calibri" w:eastAsia="Calibri" w:hAnsi="Calibri"/>
                <w:color w:val="6B5E54"/>
                <w:sz w:val="20"/>
                <w:szCs w:val="20"/>
              </w:rPr>
              <w:t xml:space="preserve">Weeks 2-3</w:t>
            </w:r>
          </w:p>
        </w:tc>
      </w:tr>
      <w:tr>
        <w:tc>
          <w:tcPr>
            <w:tcW w:type="dxa" w:w="6960"/>
            <w:tcBorders>
              <w:top w:val="single" w:color="E8E0D8" w:sz="1"/>
              <w:left w:val="none" w:color="FFFFFF" w:sz="0"/>
              <w:bottom w:val="single" w:color="E8E0D8" w:sz="1"/>
              <w:right w:val="none" w:color="FFFFFF" w:sz="0"/>
            </w:tcBorders>
            <w:shd w:fill="FAF7F4" w:val="clear"/>
            <w:tcMar>
              <w:top w:type="dxa" w:w="60"/>
              <w:left w:type="dxa" w:w="140"/>
              <w:bottom w:type="dxa" w:w="60"/>
              <w:right w:type="dxa" w:w="140"/>
            </w:tcMar>
          </w:tcPr>
          <w:p>
            <w:r>
              <w:rPr>
                <w:rFonts w:ascii="Calibri" w:cs="Calibri" w:eastAsia="Calibri" w:hAnsi="Calibri"/>
                <w:color w:val="1A1210"/>
                <w:sz w:val="20"/>
                <w:szCs w:val="20"/>
              </w:rPr>
              <w:t xml:space="preserve">Analysis and benchmarking</w:t>
            </w:r>
          </w:p>
        </w:tc>
        <w:tc>
          <w:tcPr>
            <w:tcW w:type="dxa" w:w="2400"/>
            <w:tcBorders>
              <w:top w:val="single" w:color="E8E0D8" w:sz="1"/>
              <w:left w:val="none" w:color="FFFFFF" w:sz="0"/>
              <w:bottom w:val="single" w:color="E8E0D8" w:sz="1"/>
              <w:right w:val="none" w:color="FFFFFF" w:sz="0"/>
            </w:tcBorders>
            <w:shd w:fill="FAF7F4" w:val="clear"/>
            <w:tcMar>
              <w:top w:type="dxa" w:w="60"/>
              <w:left w:type="dxa" w:w="140"/>
              <w:bottom w:type="dxa" w:w="60"/>
              <w:right w:type="dxa" w:w="140"/>
            </w:tcMar>
          </w:tcPr>
          <w:p>
            <w:pPr>
              <w:jc w:val="right"/>
            </w:pPr>
            <w:r>
              <w:rPr>
                <w:rFonts w:ascii="Calibri" w:cs="Calibri" w:eastAsia="Calibri" w:hAnsi="Calibri"/>
                <w:color w:val="6B5E54"/>
                <w:sz w:val="20"/>
                <w:szCs w:val="20"/>
              </w:rPr>
              <w:t xml:space="preserve">Weeks 3-5</w:t>
            </w:r>
          </w:p>
        </w:tc>
      </w:tr>
      <w:tr>
        <w:tc>
          <w:tcPr>
            <w:tcW w:type="dxa" w:w="6960"/>
            <w:tcBorders>
              <w:top w:val="single" w:color="E8E0D8" w:sz="1"/>
              <w:left w:val="none" w:color="FFFFFF" w:sz="0"/>
              <w:bottom w:val="single" w:color="E8E0D8" w:sz="1"/>
              <w:right w:val="none" w:color="FFFFFF" w:sz="0"/>
            </w:tcBorders>
            <w:shd w:fill="FFFFFF" w:val="clear"/>
            <w:tcMar>
              <w:top w:type="dxa" w:w="60"/>
              <w:left w:type="dxa" w:w="140"/>
              <w:bottom w:type="dxa" w:w="60"/>
              <w:right w:type="dxa" w:w="140"/>
            </w:tcMar>
          </w:tcPr>
          <w:p>
            <w:r>
              <w:rPr>
                <w:rFonts w:ascii="Calibri" w:cs="Calibri" w:eastAsia="Calibri" w:hAnsi="Calibri"/>
                <w:color w:val="1A1210"/>
                <w:sz w:val="20"/>
                <w:szCs w:val="20"/>
              </w:rPr>
              <w:t xml:space="preserve">Draft report to primary contact for review</w:t>
            </w:r>
          </w:p>
        </w:tc>
        <w:tc>
          <w:tcPr>
            <w:tcW w:type="dxa" w:w="2400"/>
            <w:tcBorders>
              <w:top w:val="single" w:color="E8E0D8" w:sz="1"/>
              <w:left w:val="none" w:color="FFFFFF" w:sz="0"/>
              <w:bottom w:val="single" w:color="E8E0D8" w:sz="1"/>
              <w:right w:val="none" w:color="FFFFFF" w:sz="0"/>
            </w:tcBorders>
            <w:shd w:fill="FFFFFF" w:val="clear"/>
            <w:tcMar>
              <w:top w:type="dxa" w:w="60"/>
              <w:left w:type="dxa" w:w="140"/>
              <w:bottom w:type="dxa" w:w="60"/>
              <w:right w:type="dxa" w:w="140"/>
            </w:tcMar>
          </w:tcPr>
          <w:p>
            <w:pPr>
              <w:jc w:val="right"/>
            </w:pPr>
            <w:r>
              <w:rPr>
                <w:rFonts w:ascii="Calibri" w:cs="Calibri" w:eastAsia="Calibri" w:hAnsi="Calibri"/>
                <w:color w:val="6B5E54"/>
                <w:sz w:val="20"/>
                <w:szCs w:val="20"/>
              </w:rPr>
              <w:t xml:space="preserve">Week 6</w:t>
            </w:r>
          </w:p>
        </w:tc>
      </w:tr>
      <w:tr>
        <w:tc>
          <w:tcPr>
            <w:tcW w:type="dxa" w:w="6960"/>
            <w:tcBorders>
              <w:top w:val="single" w:color="E8E0D8" w:sz="1"/>
              <w:left w:val="none" w:color="FFFFFF" w:sz="0"/>
              <w:bottom w:val="single" w:color="E8E0D8" w:sz="1"/>
              <w:right w:val="none" w:color="FFFFFF" w:sz="0"/>
            </w:tcBorders>
            <w:shd w:fill="FAF7F4" w:val="clear"/>
            <w:tcMar>
              <w:top w:type="dxa" w:w="60"/>
              <w:left w:type="dxa" w:w="140"/>
              <w:bottom w:type="dxa" w:w="60"/>
              <w:right w:type="dxa" w:w="140"/>
            </w:tcMar>
          </w:tcPr>
          <w:p>
            <w:r>
              <w:rPr>
                <w:rFonts w:ascii="Calibri" w:cs="Calibri" w:eastAsia="Calibri" w:hAnsi="Calibri"/>
                <w:color w:val="1A1210"/>
                <w:sz w:val="20"/>
                <w:szCs w:val="20"/>
              </w:rPr>
              <w:t xml:space="preserve">Final report delivered</w:t>
            </w:r>
          </w:p>
        </w:tc>
        <w:tc>
          <w:tcPr>
            <w:tcW w:type="dxa" w:w="2400"/>
            <w:tcBorders>
              <w:top w:val="single" w:color="E8E0D8" w:sz="1"/>
              <w:left w:val="none" w:color="FFFFFF" w:sz="0"/>
              <w:bottom w:val="single" w:color="E8E0D8" w:sz="1"/>
              <w:right w:val="none" w:color="FFFFFF" w:sz="0"/>
            </w:tcBorders>
            <w:shd w:fill="FAF7F4" w:val="clear"/>
            <w:tcMar>
              <w:top w:type="dxa" w:w="60"/>
              <w:left w:type="dxa" w:w="140"/>
              <w:bottom w:type="dxa" w:w="60"/>
              <w:right w:type="dxa" w:w="140"/>
            </w:tcMar>
          </w:tcPr>
          <w:p>
            <w:pPr>
              <w:jc w:val="right"/>
            </w:pPr>
            <w:r>
              <w:rPr>
                <w:rFonts w:ascii="Calibri" w:cs="Calibri" w:eastAsia="Calibri" w:hAnsi="Calibri"/>
                <w:color w:val="6B5E54"/>
                <w:sz w:val="20"/>
                <w:szCs w:val="20"/>
              </w:rPr>
              <w:t xml:space="preserve">Week 7</w:t>
            </w:r>
          </w:p>
        </w:tc>
      </w:tr>
      <w:tr>
        <w:tc>
          <w:tcPr>
            <w:tcW w:type="dxa" w:w="6960"/>
            <w:tcBorders>
              <w:top w:val="single" w:color="E8E0D8" w:sz="1"/>
              <w:left w:val="none" w:color="FFFFFF" w:sz="0"/>
              <w:bottom w:val="single" w:color="E8E0D8" w:sz="1"/>
              <w:right w:val="none" w:color="FFFFFF" w:sz="0"/>
            </w:tcBorders>
            <w:shd w:fill="FFFFFF" w:val="clear"/>
            <w:tcMar>
              <w:top w:type="dxa" w:w="60"/>
              <w:left w:type="dxa" w:w="140"/>
              <w:bottom w:type="dxa" w:w="60"/>
              <w:right w:type="dxa" w:w="140"/>
            </w:tcMar>
          </w:tcPr>
          <w:p>
            <w:r>
              <w:rPr>
                <w:rFonts w:ascii="Calibri" w:cs="Calibri" w:eastAsia="Calibri" w:hAnsi="Calibri"/>
                <w:color w:val="1A1210"/>
                <w:sz w:val="20"/>
                <w:szCs w:val="20"/>
              </w:rPr>
              <w:t xml:space="preserve">Board presentation</w:t>
            </w:r>
          </w:p>
        </w:tc>
        <w:tc>
          <w:tcPr>
            <w:tcW w:type="dxa" w:w="2400"/>
            <w:tcBorders>
              <w:top w:val="single" w:color="E8E0D8" w:sz="1"/>
              <w:left w:val="none" w:color="FFFFFF" w:sz="0"/>
              <w:bottom w:val="single" w:color="E8E0D8" w:sz="1"/>
              <w:right w:val="none" w:color="FFFFFF" w:sz="0"/>
            </w:tcBorders>
            <w:shd w:fill="FFFFFF" w:val="clear"/>
            <w:tcMar>
              <w:top w:type="dxa" w:w="60"/>
              <w:left w:type="dxa" w:w="140"/>
              <w:bottom w:type="dxa" w:w="60"/>
              <w:right w:type="dxa" w:w="140"/>
            </w:tcMar>
          </w:tcPr>
          <w:p>
            <w:pPr>
              <w:jc w:val="right"/>
            </w:pPr>
            <w:r>
              <w:rPr>
                <w:rFonts w:ascii="Calibri" w:cs="Calibri" w:eastAsia="Calibri" w:hAnsi="Calibri"/>
                <w:color w:val="6B5E54"/>
                <w:sz w:val="20"/>
                <w:szCs w:val="20"/>
              </w:rPr>
              <w:t xml:space="preserve">Week 7-8</w:t>
            </w:r>
          </w:p>
        </w:tc>
      </w:tr>
      <w:tr>
        <w:tc>
          <w:tcPr>
            <w:tcW w:type="dxa" w:w="6960"/>
            <w:tcBorders>
              <w:top w:val="single" w:color="E8E0D8" w:sz="1"/>
              <w:left w:val="none" w:color="FFFFFF" w:sz="0"/>
              <w:bottom w:val="single" w:color="E8E0D8" w:sz="1"/>
              <w:right w:val="none" w:color="FFFFFF" w:sz="0"/>
            </w:tcBorders>
            <w:shd w:fill="FAF7F4" w:val="clear"/>
            <w:tcMar>
              <w:top w:type="dxa" w:w="60"/>
              <w:left w:type="dxa" w:w="140"/>
              <w:bottom w:type="dxa" w:w="60"/>
              <w:right w:type="dxa" w:w="140"/>
            </w:tcMar>
          </w:tcPr>
          <w:p>
            <w:r>
              <w:rPr>
                <w:rFonts w:ascii="Calibri" w:cs="Calibri" w:eastAsia="Calibri" w:hAnsi="Calibri"/>
                <w:color w:val="1A1210"/>
                <w:sz w:val="20"/>
                <w:szCs w:val="20"/>
              </w:rPr>
              <w:t xml:space="preserve">30-day follow-up call</w:t>
            </w:r>
          </w:p>
        </w:tc>
        <w:tc>
          <w:tcPr>
            <w:tcW w:type="dxa" w:w="2400"/>
            <w:tcBorders>
              <w:top w:val="single" w:color="E8E0D8" w:sz="1"/>
              <w:left w:val="none" w:color="FFFFFF" w:sz="0"/>
              <w:bottom w:val="single" w:color="E8E0D8" w:sz="1"/>
              <w:right w:val="none" w:color="FFFFFF" w:sz="0"/>
            </w:tcBorders>
            <w:shd w:fill="FAF7F4" w:val="clear"/>
            <w:tcMar>
              <w:top w:type="dxa" w:w="60"/>
              <w:left w:type="dxa" w:w="140"/>
              <w:bottom w:type="dxa" w:w="60"/>
              <w:right w:type="dxa" w:w="140"/>
            </w:tcMar>
          </w:tcPr>
          <w:p>
            <w:pPr>
              <w:jc w:val="right"/>
            </w:pPr>
            <w:r>
              <w:rPr>
                <w:rFonts w:ascii="Calibri" w:cs="Calibri" w:eastAsia="Calibri" w:hAnsi="Calibri"/>
                <w:color w:val="6B5E54"/>
                <w:sz w:val="20"/>
                <w:szCs w:val="20"/>
              </w:rPr>
              <w:t xml:space="preserve">Week 11-12</w:t>
            </w:r>
          </w:p>
        </w:tc>
      </w:tr>
    </w:tbl>
    <w:p>
      <w:pPr>
        <w:spacing w:after="0" w:before="80"/>
      </w:pPr>
    </w:p>
    <w:p>
      <w:pPr>
        <w:spacing w:after="60" w:before="60" w:line="276"/>
        <w:jc w:val="left"/>
      </w:pPr>
      <w:r>
        <w:rPr>
          <w:rFonts w:ascii="Calibri" w:cs="Calibri" w:eastAsia="Calibri" w:hAnsi="Calibri"/>
          <w:color w:val="6B5E54"/>
          <w:sz w:val="21"/>
          <w:szCs w:val="21"/>
        </w:rPr>
        <w:t xml:space="preserve">Note: The timeline begins upon receipt of the initial document package. Delays in document delivery will extend the overall timeline proportionally.</w:t>
      </w:r>
    </w:p>
    <w:p>
      <w:pPr>
        <w:spacing w:after="80" w:before="360"/>
      </w:pPr>
      <w:r>
        <w:rPr>
          <w:rFonts w:ascii="Georgia" w:cs="Georgia" w:eastAsia="Georgia" w:hAnsi="Georgia"/>
          <w:b/>
          <w:bCs/>
          <w:color w:val="1A1210"/>
          <w:sz w:val="28"/>
          <w:szCs w:val="28"/>
        </w:rPr>
        <w:t xml:space="preserve">Investment</w:t>
      </w:r>
    </w:p>
    <w:p>
      <w:pPr>
        <w:pBdr>
          <w:bottom w:val="single" w:color="C8461C" w:sz="6" w:space="1"/>
        </w:pBdr>
        <w:spacing w:after="200" w:before="0"/>
      </w:pPr>
    </w:p>
    <w:p>
      <w:pPr>
        <w:spacing w:after="60" w:before="60" w:line="276"/>
        <w:jc w:val="left"/>
      </w:pPr>
      <w:r>
        <w:rPr>
          <w:rFonts w:ascii="Calibri" w:cs="Calibri" w:eastAsia="Calibri" w:hAnsi="Calibri"/>
          <w:color w:val="1A1210"/>
          <w:sz w:val="21"/>
          <w:szCs w:val="21"/>
        </w:rPr>
        <w:t xml:space="preserve">The following table summarizes the total investment for this engagement, including all professional fees and travel expenses for the two-day on-site visit in Ottawa.</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200"/>
        <w:gridCol w:w="2400"/>
      </w:tblGrid>
      <w:tr>
        <w:tc>
          <w:tcPr>
            <w:tcW w:type="dxa" w:w="5760"/>
            <w:tcBorders>
              <w:top w:val="none" w:color="FFFFFF" w:sz="0"/>
              <w:left w:val="none" w:color="FFFFFF" w:sz="0"/>
              <w:bottom w:val="none" w:color="FFFFFF" w:sz="0"/>
              <w:right w:val="none" w:color="FFFFFF" w:sz="0"/>
            </w:tcBorders>
            <w:shd w:fill="FAF7F4" w:val="clear"/>
            <w:tcMar>
              <w:top w:type="dxa" w:w="50"/>
              <w:left w:type="dxa" w:w="140"/>
              <w:bottom w:type="dxa" w:w="50"/>
              <w:right w:type="dxa" w:w="140"/>
            </w:tcMar>
          </w:tcPr>
          <w:p>
            <w:r>
              <w:rPr>
                <w:rFonts w:ascii="Georgia" w:cs="Georgia" w:eastAsia="Georgia" w:hAnsi="Georgia"/>
                <w:b/>
                <w:bCs/>
                <w:color w:val="C8461C"/>
                <w:sz w:val="20"/>
                <w:szCs w:val="20"/>
              </w:rPr>
              <w:t xml:space="preserve">Professional Fees</w:t>
            </w:r>
          </w:p>
        </w:tc>
        <w:tc>
          <w:tcPr>
            <w:tcW w:type="dxa" w:w="1200"/>
            <w:tcBorders>
              <w:top w:val="none" w:color="FFFFFF" w:sz="0"/>
              <w:left w:val="none" w:color="FFFFFF" w:sz="0"/>
              <w:bottom w:val="none" w:color="FFFFFF" w:sz="0"/>
              <w:right w:val="none" w:color="FFFFFF" w:sz="0"/>
            </w:tcBorders>
            <w:shd w:fill="FAF7F4" w:val="clear"/>
            <w:tcMar>
              <w:top w:type="dxa" w:w="50"/>
              <w:left w:type="dxa" w:w="140"/>
              <w:bottom w:type="dxa" w:w="50"/>
              <w:right w:type="dxa" w:w="140"/>
            </w:tcMar>
          </w:tcPr>
          <w:p/>
        </w:tc>
        <w:tc>
          <w:tcPr>
            <w:tcW w:type="dxa" w:w="2400"/>
            <w:tcBorders>
              <w:top w:val="none" w:color="FFFFFF" w:sz="0"/>
              <w:left w:val="none" w:color="FFFFFF" w:sz="0"/>
              <w:bottom w:val="none" w:color="FFFFFF" w:sz="0"/>
              <w:right w:val="none" w:color="FFFFFF" w:sz="0"/>
            </w:tcBorders>
            <w:shd w:fill="FAF7F4" w:val="clear"/>
            <w:tcMar>
              <w:top w:type="dxa" w:w="50"/>
              <w:left w:type="dxa" w:w="140"/>
              <w:bottom w:type="dxa" w:w="50"/>
              <w:right w:type="dxa" w:w="140"/>
            </w:tcMar>
          </w:tcPr>
          <w:p>
            <w:pPr>
              <w:jc w:val="right"/>
            </w:pPr>
            <w:r>
              <w:rPr>
                <w:rFonts w:ascii="Calibri" w:cs="Calibri" w:eastAsia="Calibri" w:hAnsi="Calibri"/>
                <w:b w:val="false"/>
                <w:bCs w:val="false"/>
                <w:color w:val="1A1210"/>
                <w:sz w:val="20"/>
                <w:szCs w:val="20"/>
              </w:rPr>
              <w:t xml:space="preserve"/>
            </w:r>
          </w:p>
        </w:tc>
      </w:tr>
      <w:tr>
        <w:tc>
          <w:tcPr>
            <w:tcW w:type="dxa" w:w="5760"/>
            <w:tcBorders>
              <w:top w:val="none" w:color="FFFFFF" w:sz="0"/>
              <w:left w:val="none" w:color="FFFFFF" w:sz="0"/>
              <w:bottom w:val="none" w:color="FFFFFF" w:sz="0"/>
              <w:right w:val="none" w:color="FFFFFF" w:sz="0"/>
            </w:tcBorders>
            <w:shd w:fill="FFFFFF" w:val="clear"/>
            <w:tcMar>
              <w:top w:type="dxa" w:w="50"/>
              <w:left w:type="dxa" w:w="140"/>
              <w:bottom w:type="dxa" w:w="50"/>
              <w:right w:type="dxa" w:w="140"/>
            </w:tcMar>
          </w:tcPr>
          <w:p>
            <w:r>
              <w:rPr>
                <w:rFonts w:ascii="Calibri" w:cs="Calibri" w:eastAsia="Calibri" w:hAnsi="Calibri"/>
                <w:b w:val="false"/>
                <w:bCs w:val="false"/>
                <w:color w:val="1A1210"/>
                <w:sz w:val="20"/>
                <w:szCs w:val="20"/>
              </w:rPr>
              <w:t xml:space="preserve">Development audit and strategic plan</w:t>
            </w:r>
          </w:p>
        </w:tc>
        <w:tc>
          <w:tcPr>
            <w:tcW w:type="dxa" w:w="1200"/>
            <w:tcBorders>
              <w:top w:val="none" w:color="FFFFFF" w:sz="0"/>
              <w:left w:val="none" w:color="FFFFFF" w:sz="0"/>
              <w:bottom w:val="none" w:color="FFFFFF" w:sz="0"/>
              <w:right w:val="none" w:color="FFFFFF" w:sz="0"/>
            </w:tcBorders>
            <w:shd w:fill="FFFFFF" w:val="clear"/>
            <w:tcMar>
              <w:top w:type="dxa" w:w="50"/>
              <w:left w:type="dxa" w:w="140"/>
              <w:bottom w:type="dxa" w:w="50"/>
              <w:right w:type="dxa" w:w="140"/>
            </w:tcMar>
          </w:tcPr>
          <w:p/>
        </w:tc>
        <w:tc>
          <w:tcPr>
            <w:tcW w:type="dxa" w:w="2400"/>
            <w:tcBorders>
              <w:top w:val="none" w:color="FFFFFF" w:sz="0"/>
              <w:left w:val="none" w:color="FFFFFF" w:sz="0"/>
              <w:bottom w:val="none" w:color="FFFFFF" w:sz="0"/>
              <w:right w:val="none" w:color="FFFFFF" w:sz="0"/>
            </w:tcBorders>
            <w:shd w:fill="FFFFFF" w:val="clear"/>
            <w:tcMar>
              <w:top w:type="dxa" w:w="50"/>
              <w:left w:type="dxa" w:w="140"/>
              <w:bottom w:type="dxa" w:w="50"/>
              <w:right w:type="dxa" w:w="140"/>
            </w:tcMar>
          </w:tcPr>
          <w:p>
            <w:pPr>
              <w:jc w:val="right"/>
            </w:pPr>
            <w:r>
              <w:rPr>
                <w:rFonts w:ascii="Calibri" w:cs="Calibri" w:eastAsia="Calibri" w:hAnsi="Calibri"/>
                <w:b w:val="false"/>
                <w:bCs w:val="false"/>
                <w:color w:val="1A1210"/>
                <w:sz w:val="20"/>
                <w:szCs w:val="20"/>
              </w:rPr>
              <w:t xml:space="preserve">$7,500</w:t>
            </w:r>
          </w:p>
        </w:tc>
      </w:tr>
      <w:tr>
        <w:tc>
          <w:tcPr>
            <w:tcW w:type="dxa" w:w="5760"/>
            <w:tcBorders>
              <w:top w:val="none" w:color="FFFFFF" w:sz="0"/>
              <w:left w:val="none" w:color="FFFFFF" w:sz="0"/>
              <w:bottom w:val="none" w:color="FFFFFF" w:sz="0"/>
              <w:right w:val="none" w:color="FFFFFF" w:sz="0"/>
            </w:tcBorders>
            <w:shd w:fill="FFFFFF" w:val="clear"/>
            <w:tcMar>
              <w:top w:type="dxa" w:w="50"/>
              <w:left w:type="dxa" w:w="140"/>
              <w:bottom w:type="dxa" w:w="50"/>
              <w:right w:type="dxa" w:w="140"/>
            </w:tcMar>
          </w:tcPr>
          <w:p>
            <w:r>
              <w:rPr>
                <w:rFonts w:ascii="Calibri" w:cs="Calibri" w:eastAsia="Calibri" w:hAnsi="Calibri"/>
                <w:b w:val="false"/>
                <w:bCs w:val="false"/>
                <w:color w:val="1A1210"/>
                <w:sz w:val="20"/>
                <w:szCs w:val="20"/>
              </w:rPr>
              <w:t xml:space="preserve">Board presentation (in-person or virtual)</w:t>
            </w:r>
          </w:p>
        </w:tc>
        <w:tc>
          <w:tcPr>
            <w:tcW w:type="dxa" w:w="1200"/>
            <w:tcBorders>
              <w:top w:val="none" w:color="FFFFFF" w:sz="0"/>
              <w:left w:val="none" w:color="FFFFFF" w:sz="0"/>
              <w:bottom w:val="none" w:color="FFFFFF" w:sz="0"/>
              <w:right w:val="none" w:color="FFFFFF" w:sz="0"/>
            </w:tcBorders>
            <w:shd w:fill="FFFFFF" w:val="clear"/>
            <w:tcMar>
              <w:top w:type="dxa" w:w="50"/>
              <w:left w:type="dxa" w:w="140"/>
              <w:bottom w:type="dxa" w:w="50"/>
              <w:right w:type="dxa" w:w="140"/>
            </w:tcMar>
          </w:tcPr>
          <w:p/>
        </w:tc>
        <w:tc>
          <w:tcPr>
            <w:tcW w:type="dxa" w:w="2400"/>
            <w:tcBorders>
              <w:top w:val="none" w:color="FFFFFF" w:sz="0"/>
              <w:left w:val="none" w:color="FFFFFF" w:sz="0"/>
              <w:bottom w:val="none" w:color="FFFFFF" w:sz="0"/>
              <w:right w:val="none" w:color="FFFFFF" w:sz="0"/>
            </w:tcBorders>
            <w:shd w:fill="FFFFFF" w:val="clear"/>
            <w:tcMar>
              <w:top w:type="dxa" w:w="50"/>
              <w:left w:type="dxa" w:w="140"/>
              <w:bottom w:type="dxa" w:w="50"/>
              <w:right w:type="dxa" w:w="140"/>
            </w:tcMar>
          </w:tcPr>
          <w:p>
            <w:pPr>
              <w:jc w:val="right"/>
            </w:pPr>
            <w:r>
              <w:rPr>
                <w:rFonts w:ascii="Calibri" w:cs="Calibri" w:eastAsia="Calibri" w:hAnsi="Calibri"/>
                <w:b w:val="false"/>
                <w:bCs w:val="false"/>
                <w:color w:val="1A1210"/>
                <w:sz w:val="20"/>
                <w:szCs w:val="20"/>
              </w:rPr>
              <w:t xml:space="preserve">Included</w:t>
            </w:r>
          </w:p>
        </w:tc>
      </w:tr>
      <w:tr>
        <w:tc>
          <w:tcPr>
            <w:tcW w:type="dxa" w:w="5760"/>
            <w:tcBorders>
              <w:top w:val="none" w:color="FFFFFF" w:sz="0"/>
              <w:left w:val="none" w:color="FFFFFF" w:sz="0"/>
              <w:bottom w:val="none" w:color="FFFFFF" w:sz="0"/>
              <w:right w:val="none" w:color="FFFFFF" w:sz="0"/>
            </w:tcBorders>
            <w:shd w:fill="FFFFFF" w:val="clear"/>
            <w:tcMar>
              <w:top w:type="dxa" w:w="50"/>
              <w:left w:type="dxa" w:w="140"/>
              <w:bottom w:type="dxa" w:w="50"/>
              <w:right w:type="dxa" w:w="140"/>
            </w:tcMar>
          </w:tcPr>
          <w:p>
            <w:r>
              <w:rPr>
                <w:rFonts w:ascii="Calibri" w:cs="Calibri" w:eastAsia="Calibri" w:hAnsi="Calibri"/>
                <w:b w:val="false"/>
                <w:bCs w:val="false"/>
                <w:color w:val="1A1210"/>
                <w:sz w:val="20"/>
                <w:szCs w:val="20"/>
              </w:rPr>
              <w:t xml:space="preserve">30-day follow-up consultation</w:t>
            </w:r>
          </w:p>
        </w:tc>
        <w:tc>
          <w:tcPr>
            <w:tcW w:type="dxa" w:w="1200"/>
            <w:tcBorders>
              <w:top w:val="none" w:color="FFFFFF" w:sz="0"/>
              <w:left w:val="none" w:color="FFFFFF" w:sz="0"/>
              <w:bottom w:val="none" w:color="FFFFFF" w:sz="0"/>
              <w:right w:val="none" w:color="FFFFFF" w:sz="0"/>
            </w:tcBorders>
            <w:shd w:fill="FFFFFF" w:val="clear"/>
            <w:tcMar>
              <w:top w:type="dxa" w:w="50"/>
              <w:left w:type="dxa" w:w="140"/>
              <w:bottom w:type="dxa" w:w="50"/>
              <w:right w:type="dxa" w:w="140"/>
            </w:tcMar>
          </w:tcPr>
          <w:p/>
        </w:tc>
        <w:tc>
          <w:tcPr>
            <w:tcW w:type="dxa" w:w="2400"/>
            <w:tcBorders>
              <w:top w:val="none" w:color="FFFFFF" w:sz="0"/>
              <w:left w:val="none" w:color="FFFFFF" w:sz="0"/>
              <w:bottom w:val="none" w:color="FFFFFF" w:sz="0"/>
              <w:right w:val="none" w:color="FFFFFF" w:sz="0"/>
            </w:tcBorders>
            <w:shd w:fill="FFFFFF" w:val="clear"/>
            <w:tcMar>
              <w:top w:type="dxa" w:w="50"/>
              <w:left w:type="dxa" w:w="140"/>
              <w:bottom w:type="dxa" w:w="50"/>
              <w:right w:type="dxa" w:w="140"/>
            </w:tcMar>
          </w:tcPr>
          <w:p>
            <w:pPr>
              <w:jc w:val="right"/>
            </w:pPr>
            <w:r>
              <w:rPr>
                <w:rFonts w:ascii="Calibri" w:cs="Calibri" w:eastAsia="Calibri" w:hAnsi="Calibri"/>
                <w:b w:val="false"/>
                <w:bCs w:val="false"/>
                <w:color w:val="1A1210"/>
                <w:sz w:val="20"/>
                <w:szCs w:val="20"/>
              </w:rPr>
              <w:t xml:space="preserve">Included</w:t>
            </w:r>
          </w:p>
        </w:tc>
      </w:tr>
      <w:tr>
        <w:trPr>
          <w:trHeight w:val="120" w:hRule="exact"/>
        </w:trPr>
        <w:tc>
          <w:tcPr>
            <w:tcW w:type="dxa" w:w="5760"/>
            <w:tcBorders>
              <w:top w:val="none" w:color="FFFFFF" w:sz="0"/>
              <w:left w:val="none" w:color="FFFFFF" w:sz="0"/>
              <w:bottom w:val="none" w:color="FFFFFF" w:sz="0"/>
              <w:right w:val="none" w:color="FFFFFF" w:sz="0"/>
            </w:tcBorders>
          </w:tcPr>
          <w:p/>
        </w:tc>
        <w:tc>
          <w:tcPr>
            <w:tcW w:type="dxa" w:w="1200"/>
            <w:tcBorders>
              <w:top w:val="none" w:color="FFFFFF" w:sz="0"/>
              <w:left w:val="none" w:color="FFFFFF" w:sz="0"/>
              <w:bottom w:val="none" w:color="FFFFFF" w:sz="0"/>
              <w:right w:val="none" w:color="FFFFFF" w:sz="0"/>
            </w:tcBorders>
          </w:tcPr>
          <w:p/>
        </w:tc>
        <w:tc>
          <w:tcPr>
            <w:tcW w:type="dxa" w:w="2400"/>
            <w:tcBorders>
              <w:top w:val="none" w:color="FFFFFF" w:sz="0"/>
              <w:left w:val="none" w:color="FFFFFF" w:sz="0"/>
              <w:bottom w:val="none" w:color="FFFFFF" w:sz="0"/>
              <w:right w:val="none" w:color="FFFFFF" w:sz="0"/>
            </w:tcBorders>
          </w:tcPr>
          <w:p/>
        </w:tc>
      </w:tr>
      <w:tr>
        <w:tc>
          <w:tcPr>
            <w:tcW w:type="dxa" w:w="5760"/>
            <w:tcBorders>
              <w:top w:val="none" w:color="FFFFFF" w:sz="0"/>
              <w:left w:val="none" w:color="FFFFFF" w:sz="0"/>
              <w:bottom w:val="none" w:color="FFFFFF" w:sz="0"/>
              <w:right w:val="none" w:color="FFFFFF" w:sz="0"/>
            </w:tcBorders>
            <w:shd w:fill="FAF7F4" w:val="clear"/>
            <w:tcMar>
              <w:top w:type="dxa" w:w="50"/>
              <w:left w:type="dxa" w:w="140"/>
              <w:bottom w:type="dxa" w:w="50"/>
              <w:right w:type="dxa" w:w="140"/>
            </w:tcMar>
          </w:tcPr>
          <w:p>
            <w:r>
              <w:rPr>
                <w:rFonts w:ascii="Georgia" w:cs="Georgia" w:eastAsia="Georgia" w:hAnsi="Georgia"/>
                <w:b/>
                <w:bCs/>
                <w:color w:val="C8461C"/>
                <w:sz w:val="20"/>
                <w:szCs w:val="20"/>
              </w:rPr>
              <w:t xml:space="preserve">Travel Expenses (Ottawa, 2 days)</w:t>
            </w:r>
          </w:p>
        </w:tc>
        <w:tc>
          <w:tcPr>
            <w:tcW w:type="dxa" w:w="1200"/>
            <w:tcBorders>
              <w:top w:val="none" w:color="FFFFFF" w:sz="0"/>
              <w:left w:val="none" w:color="FFFFFF" w:sz="0"/>
              <w:bottom w:val="none" w:color="FFFFFF" w:sz="0"/>
              <w:right w:val="none" w:color="FFFFFF" w:sz="0"/>
            </w:tcBorders>
            <w:shd w:fill="FAF7F4" w:val="clear"/>
            <w:tcMar>
              <w:top w:type="dxa" w:w="50"/>
              <w:left w:type="dxa" w:w="140"/>
              <w:bottom w:type="dxa" w:w="50"/>
              <w:right w:type="dxa" w:w="140"/>
            </w:tcMar>
          </w:tcPr>
          <w:p/>
        </w:tc>
        <w:tc>
          <w:tcPr>
            <w:tcW w:type="dxa" w:w="2400"/>
            <w:tcBorders>
              <w:top w:val="none" w:color="FFFFFF" w:sz="0"/>
              <w:left w:val="none" w:color="FFFFFF" w:sz="0"/>
              <w:bottom w:val="none" w:color="FFFFFF" w:sz="0"/>
              <w:right w:val="none" w:color="FFFFFF" w:sz="0"/>
            </w:tcBorders>
            <w:shd w:fill="FAF7F4" w:val="clear"/>
            <w:tcMar>
              <w:top w:type="dxa" w:w="50"/>
              <w:left w:type="dxa" w:w="140"/>
              <w:bottom w:type="dxa" w:w="50"/>
              <w:right w:type="dxa" w:w="140"/>
            </w:tcMar>
          </w:tcPr>
          <w:p>
            <w:pPr>
              <w:jc w:val="right"/>
            </w:pPr>
            <w:r>
              <w:rPr>
                <w:rFonts w:ascii="Calibri" w:cs="Calibri" w:eastAsia="Calibri" w:hAnsi="Calibri"/>
                <w:b w:val="false"/>
                <w:bCs w:val="false"/>
                <w:color w:val="1A1210"/>
                <w:sz w:val="20"/>
                <w:szCs w:val="20"/>
              </w:rPr>
              <w:t xml:space="preserve"/>
            </w:r>
          </w:p>
        </w:tc>
      </w:tr>
      <w:tr>
        <w:tc>
          <w:tcPr>
            <w:tcW w:type="dxa" w:w="5760"/>
            <w:tcBorders>
              <w:top w:val="none" w:color="FFFFFF" w:sz="0"/>
              <w:left w:val="none" w:color="FFFFFF" w:sz="0"/>
              <w:bottom w:val="none" w:color="FFFFFF" w:sz="0"/>
              <w:right w:val="none" w:color="FFFFFF" w:sz="0"/>
            </w:tcBorders>
            <w:shd w:fill="FFFFFF" w:val="clear"/>
            <w:tcMar>
              <w:top w:type="dxa" w:w="50"/>
              <w:left w:type="dxa" w:w="140"/>
              <w:bottom w:type="dxa" w:w="50"/>
              <w:right w:type="dxa" w:w="140"/>
            </w:tcMar>
          </w:tcPr>
          <w:p>
            <w:r>
              <w:rPr>
                <w:rFonts w:ascii="Calibri" w:cs="Calibri" w:eastAsia="Calibri" w:hAnsi="Calibri"/>
                <w:b w:val="false"/>
                <w:bCs w:val="false"/>
                <w:color w:val="1A1210"/>
                <w:sz w:val="20"/>
                <w:szCs w:val="20"/>
              </w:rPr>
              <w:t xml:space="preserve">Mileage (Kawartha Lakes to Ottawa, return: ~700 km at CRA rate)</w:t>
            </w:r>
          </w:p>
        </w:tc>
        <w:tc>
          <w:tcPr>
            <w:tcW w:type="dxa" w:w="1200"/>
            <w:tcBorders>
              <w:top w:val="none" w:color="FFFFFF" w:sz="0"/>
              <w:left w:val="none" w:color="FFFFFF" w:sz="0"/>
              <w:bottom w:val="none" w:color="FFFFFF" w:sz="0"/>
              <w:right w:val="none" w:color="FFFFFF" w:sz="0"/>
            </w:tcBorders>
            <w:shd w:fill="FFFFFF" w:val="clear"/>
            <w:tcMar>
              <w:top w:type="dxa" w:w="50"/>
              <w:left w:type="dxa" w:w="140"/>
              <w:bottom w:type="dxa" w:w="50"/>
              <w:right w:type="dxa" w:w="140"/>
            </w:tcMar>
          </w:tcPr>
          <w:p/>
        </w:tc>
        <w:tc>
          <w:tcPr>
            <w:tcW w:type="dxa" w:w="2400"/>
            <w:tcBorders>
              <w:top w:val="none" w:color="FFFFFF" w:sz="0"/>
              <w:left w:val="none" w:color="FFFFFF" w:sz="0"/>
              <w:bottom w:val="none" w:color="FFFFFF" w:sz="0"/>
              <w:right w:val="none" w:color="FFFFFF" w:sz="0"/>
            </w:tcBorders>
            <w:shd w:fill="FFFFFF" w:val="clear"/>
            <w:tcMar>
              <w:top w:type="dxa" w:w="50"/>
              <w:left w:type="dxa" w:w="140"/>
              <w:bottom w:type="dxa" w:w="50"/>
              <w:right w:type="dxa" w:w="140"/>
            </w:tcMar>
          </w:tcPr>
          <w:p>
            <w:pPr>
              <w:jc w:val="right"/>
            </w:pPr>
            <w:r>
              <w:rPr>
                <w:rFonts w:ascii="Calibri" w:cs="Calibri" w:eastAsia="Calibri" w:hAnsi="Calibri"/>
                <w:b w:val="false"/>
                <w:bCs w:val="false"/>
                <w:color w:val="1A1210"/>
                <w:sz w:val="20"/>
                <w:szCs w:val="20"/>
              </w:rPr>
              <w:t xml:space="preserve">$504</w:t>
            </w:r>
          </w:p>
        </w:tc>
      </w:tr>
      <w:tr>
        <w:tc>
          <w:tcPr>
            <w:tcW w:type="dxa" w:w="5760"/>
            <w:tcBorders>
              <w:top w:val="none" w:color="FFFFFF" w:sz="0"/>
              <w:left w:val="none" w:color="FFFFFF" w:sz="0"/>
              <w:bottom w:val="none" w:color="FFFFFF" w:sz="0"/>
              <w:right w:val="none" w:color="FFFFFF" w:sz="0"/>
            </w:tcBorders>
            <w:shd w:fill="FFFFFF" w:val="clear"/>
            <w:tcMar>
              <w:top w:type="dxa" w:w="50"/>
              <w:left w:type="dxa" w:w="140"/>
              <w:bottom w:type="dxa" w:w="50"/>
              <w:right w:type="dxa" w:w="140"/>
            </w:tcMar>
          </w:tcPr>
          <w:p>
            <w:r>
              <w:rPr>
                <w:rFonts w:ascii="Calibri" w:cs="Calibri" w:eastAsia="Calibri" w:hAnsi="Calibri"/>
                <w:b w:val="false"/>
                <w:bCs w:val="false"/>
                <w:color w:val="1A1210"/>
                <w:sz w:val="20"/>
                <w:szCs w:val="20"/>
              </w:rPr>
              <w:t xml:space="preserve">Accommodation (1 night)</w:t>
            </w:r>
          </w:p>
        </w:tc>
        <w:tc>
          <w:tcPr>
            <w:tcW w:type="dxa" w:w="1200"/>
            <w:tcBorders>
              <w:top w:val="none" w:color="FFFFFF" w:sz="0"/>
              <w:left w:val="none" w:color="FFFFFF" w:sz="0"/>
              <w:bottom w:val="none" w:color="FFFFFF" w:sz="0"/>
              <w:right w:val="none" w:color="FFFFFF" w:sz="0"/>
            </w:tcBorders>
            <w:shd w:fill="FFFFFF" w:val="clear"/>
            <w:tcMar>
              <w:top w:type="dxa" w:w="50"/>
              <w:left w:type="dxa" w:w="140"/>
              <w:bottom w:type="dxa" w:w="50"/>
              <w:right w:type="dxa" w:w="140"/>
            </w:tcMar>
          </w:tcPr>
          <w:p/>
        </w:tc>
        <w:tc>
          <w:tcPr>
            <w:tcW w:type="dxa" w:w="2400"/>
            <w:tcBorders>
              <w:top w:val="none" w:color="FFFFFF" w:sz="0"/>
              <w:left w:val="none" w:color="FFFFFF" w:sz="0"/>
              <w:bottom w:val="none" w:color="FFFFFF" w:sz="0"/>
              <w:right w:val="none" w:color="FFFFFF" w:sz="0"/>
            </w:tcBorders>
            <w:shd w:fill="FFFFFF" w:val="clear"/>
            <w:tcMar>
              <w:top w:type="dxa" w:w="50"/>
              <w:left w:type="dxa" w:w="140"/>
              <w:bottom w:type="dxa" w:w="50"/>
              <w:right w:type="dxa" w:w="140"/>
            </w:tcMar>
          </w:tcPr>
          <w:p>
            <w:pPr>
              <w:jc w:val="right"/>
            </w:pPr>
            <w:r>
              <w:rPr>
                <w:rFonts w:ascii="Calibri" w:cs="Calibri" w:eastAsia="Calibri" w:hAnsi="Calibri"/>
                <w:b w:val="false"/>
                <w:bCs w:val="false"/>
                <w:color w:val="1A1210"/>
                <w:sz w:val="20"/>
                <w:szCs w:val="20"/>
              </w:rPr>
              <w:t xml:space="preserve">$200</w:t>
            </w:r>
          </w:p>
        </w:tc>
      </w:tr>
      <w:tr>
        <w:tc>
          <w:tcPr>
            <w:tcW w:type="dxa" w:w="5760"/>
            <w:tcBorders>
              <w:top w:val="none" w:color="FFFFFF" w:sz="0"/>
              <w:left w:val="none" w:color="FFFFFF" w:sz="0"/>
              <w:bottom w:val="none" w:color="FFFFFF" w:sz="0"/>
              <w:right w:val="none" w:color="FFFFFF" w:sz="0"/>
            </w:tcBorders>
            <w:shd w:fill="FFFFFF" w:val="clear"/>
            <w:tcMar>
              <w:top w:type="dxa" w:w="50"/>
              <w:left w:type="dxa" w:w="140"/>
              <w:bottom w:type="dxa" w:w="50"/>
              <w:right w:type="dxa" w:w="140"/>
            </w:tcMar>
          </w:tcPr>
          <w:p>
            <w:r>
              <w:rPr>
                <w:rFonts w:ascii="Calibri" w:cs="Calibri" w:eastAsia="Calibri" w:hAnsi="Calibri"/>
                <w:b w:val="false"/>
                <w:bCs w:val="false"/>
                <w:color w:val="1A1210"/>
                <w:sz w:val="20"/>
                <w:szCs w:val="20"/>
              </w:rPr>
              <w:t xml:space="preserve">Meals (2 days)</w:t>
            </w:r>
          </w:p>
        </w:tc>
        <w:tc>
          <w:tcPr>
            <w:tcW w:type="dxa" w:w="1200"/>
            <w:tcBorders>
              <w:top w:val="none" w:color="FFFFFF" w:sz="0"/>
              <w:left w:val="none" w:color="FFFFFF" w:sz="0"/>
              <w:bottom w:val="none" w:color="FFFFFF" w:sz="0"/>
              <w:right w:val="none" w:color="FFFFFF" w:sz="0"/>
            </w:tcBorders>
            <w:shd w:fill="FFFFFF" w:val="clear"/>
            <w:tcMar>
              <w:top w:type="dxa" w:w="50"/>
              <w:left w:type="dxa" w:w="140"/>
              <w:bottom w:type="dxa" w:w="50"/>
              <w:right w:type="dxa" w:w="140"/>
            </w:tcMar>
          </w:tcPr>
          <w:p/>
        </w:tc>
        <w:tc>
          <w:tcPr>
            <w:tcW w:type="dxa" w:w="2400"/>
            <w:tcBorders>
              <w:top w:val="none" w:color="FFFFFF" w:sz="0"/>
              <w:left w:val="none" w:color="FFFFFF" w:sz="0"/>
              <w:bottom w:val="none" w:color="FFFFFF" w:sz="0"/>
              <w:right w:val="none" w:color="FFFFFF" w:sz="0"/>
            </w:tcBorders>
            <w:shd w:fill="FFFFFF" w:val="clear"/>
            <w:tcMar>
              <w:top w:type="dxa" w:w="50"/>
              <w:left w:type="dxa" w:w="140"/>
              <w:bottom w:type="dxa" w:w="50"/>
              <w:right w:type="dxa" w:w="140"/>
            </w:tcMar>
          </w:tcPr>
          <w:p>
            <w:pPr>
              <w:jc w:val="right"/>
            </w:pPr>
            <w:r>
              <w:rPr>
                <w:rFonts w:ascii="Calibri" w:cs="Calibri" w:eastAsia="Calibri" w:hAnsi="Calibri"/>
                <w:b w:val="false"/>
                <w:bCs w:val="false"/>
                <w:color w:val="1A1210"/>
                <w:sz w:val="20"/>
                <w:szCs w:val="20"/>
              </w:rPr>
              <w:t xml:space="preserve">$100</w:t>
            </w:r>
          </w:p>
        </w:tc>
      </w:tr>
      <w:tr>
        <w:tc>
          <w:tcPr>
            <w:tcW w:type="dxa" w:w="5760"/>
            <w:tcBorders>
              <w:top w:val="none" w:color="FFFFFF" w:sz="0"/>
              <w:left w:val="none" w:color="FFFFFF" w:sz="0"/>
              <w:bottom w:val="none" w:color="FFFFFF" w:sz="0"/>
              <w:right w:val="none" w:color="FFFFFF" w:sz="0"/>
            </w:tcBorders>
            <w:shd w:fill="FFFFFF" w:val="clear"/>
            <w:tcMar>
              <w:top w:type="dxa" w:w="50"/>
              <w:left w:type="dxa" w:w="140"/>
              <w:bottom w:type="dxa" w:w="50"/>
              <w:right w:type="dxa" w:w="140"/>
            </w:tcMar>
          </w:tcPr>
          <w:p>
            <w:r>
              <w:rPr>
                <w:rFonts w:ascii="Calibri" w:cs="Calibri" w:eastAsia="Calibri" w:hAnsi="Calibri"/>
                <w:b w:val="false"/>
                <w:bCs w:val="false"/>
                <w:color w:val="1A1210"/>
                <w:sz w:val="20"/>
                <w:szCs w:val="20"/>
              </w:rPr>
              <w:t xml:space="preserve">Parking and incidentals</w:t>
            </w:r>
          </w:p>
        </w:tc>
        <w:tc>
          <w:tcPr>
            <w:tcW w:type="dxa" w:w="1200"/>
            <w:tcBorders>
              <w:top w:val="none" w:color="FFFFFF" w:sz="0"/>
              <w:left w:val="none" w:color="FFFFFF" w:sz="0"/>
              <w:bottom w:val="none" w:color="FFFFFF" w:sz="0"/>
              <w:right w:val="none" w:color="FFFFFF" w:sz="0"/>
            </w:tcBorders>
            <w:shd w:fill="FFFFFF" w:val="clear"/>
            <w:tcMar>
              <w:top w:type="dxa" w:w="50"/>
              <w:left w:type="dxa" w:w="140"/>
              <w:bottom w:type="dxa" w:w="50"/>
              <w:right w:type="dxa" w:w="140"/>
            </w:tcMar>
          </w:tcPr>
          <w:p/>
        </w:tc>
        <w:tc>
          <w:tcPr>
            <w:tcW w:type="dxa" w:w="2400"/>
            <w:tcBorders>
              <w:top w:val="none" w:color="FFFFFF" w:sz="0"/>
              <w:left w:val="none" w:color="FFFFFF" w:sz="0"/>
              <w:bottom w:val="none" w:color="FFFFFF" w:sz="0"/>
              <w:right w:val="none" w:color="FFFFFF" w:sz="0"/>
            </w:tcBorders>
            <w:shd w:fill="FFFFFF" w:val="clear"/>
            <w:tcMar>
              <w:top w:type="dxa" w:w="50"/>
              <w:left w:type="dxa" w:w="140"/>
              <w:bottom w:type="dxa" w:w="50"/>
              <w:right w:type="dxa" w:w="140"/>
            </w:tcMar>
          </w:tcPr>
          <w:p>
            <w:pPr>
              <w:jc w:val="right"/>
            </w:pPr>
            <w:r>
              <w:rPr>
                <w:rFonts w:ascii="Calibri" w:cs="Calibri" w:eastAsia="Calibri" w:hAnsi="Calibri"/>
                <w:b w:val="false"/>
                <w:bCs w:val="false"/>
                <w:color w:val="1A1210"/>
                <w:sz w:val="20"/>
                <w:szCs w:val="20"/>
              </w:rPr>
              <w:t xml:space="preserve">$50</w:t>
            </w:r>
          </w:p>
        </w:tc>
      </w:tr>
      <w:tr>
        <w:trPr>
          <w:trHeight w:val="120" w:hRule="exact"/>
        </w:trPr>
        <w:tc>
          <w:tcPr>
            <w:tcW w:type="dxa" w:w="5760"/>
            <w:tcBorders>
              <w:top w:val="none" w:color="FFFFFF" w:sz="0"/>
              <w:left w:val="none" w:color="FFFFFF" w:sz="0"/>
              <w:bottom w:val="none" w:color="FFFFFF" w:sz="0"/>
              <w:right w:val="none" w:color="FFFFFF" w:sz="0"/>
            </w:tcBorders>
          </w:tcPr>
          <w:p/>
        </w:tc>
        <w:tc>
          <w:tcPr>
            <w:tcW w:type="dxa" w:w="1200"/>
            <w:tcBorders>
              <w:top w:val="none" w:color="FFFFFF" w:sz="0"/>
              <w:left w:val="none" w:color="FFFFFF" w:sz="0"/>
              <w:bottom w:val="none" w:color="FFFFFF" w:sz="0"/>
              <w:right w:val="none" w:color="FFFFFF" w:sz="0"/>
            </w:tcBorders>
          </w:tcPr>
          <w:p/>
        </w:tc>
        <w:tc>
          <w:tcPr>
            <w:tcW w:type="dxa" w:w="2400"/>
            <w:tcBorders>
              <w:top w:val="none" w:color="FFFFFF" w:sz="0"/>
              <w:left w:val="none" w:color="FFFFFF" w:sz="0"/>
              <w:bottom w:val="none" w:color="FFFFFF" w:sz="0"/>
              <w:right w:val="none" w:color="FFFFFF" w:sz="0"/>
            </w:tcBorders>
          </w:tcPr>
          <w:p/>
        </w:tc>
      </w:tr>
      <w:tr>
        <w:tc>
          <w:tcPr>
            <w:tcW w:type="dxa" w:w="5760"/>
            <w:tcBorders>
              <w:top w:val="single" w:color="C8461C" w:sz="2"/>
              <w:left w:val="none" w:color="FFFFFF" w:sz="0"/>
              <w:bottom w:val="single" w:color="C8461C" w:sz="2"/>
              <w:right w:val="none" w:color="FFFFFF" w:sz="0"/>
            </w:tcBorders>
            <w:shd w:fill="F5F0EB" w:val="clear"/>
            <w:tcMar>
              <w:top w:type="dxa" w:w="50"/>
              <w:left w:type="dxa" w:w="140"/>
              <w:bottom w:type="dxa" w:w="50"/>
              <w:right w:type="dxa" w:w="140"/>
            </w:tcMar>
          </w:tcPr>
          <w:p>
            <w:r>
              <w:rPr>
                <w:rFonts w:ascii="Georgia" w:cs="Georgia" w:eastAsia="Georgia" w:hAnsi="Georgia"/>
                <w:b/>
                <w:bCs/>
                <w:color w:val="1A1210"/>
                <w:sz w:val="22"/>
                <w:szCs w:val="22"/>
              </w:rPr>
              <w:t xml:space="preserve">Total Investment</w:t>
            </w:r>
          </w:p>
        </w:tc>
        <w:tc>
          <w:tcPr>
            <w:tcW w:type="dxa" w:w="1200"/>
            <w:tcBorders>
              <w:top w:val="single" w:color="C8461C" w:sz="2"/>
              <w:left w:val="none" w:color="FFFFFF" w:sz="0"/>
              <w:bottom w:val="single" w:color="C8461C" w:sz="2"/>
              <w:right w:val="none" w:color="FFFFFF" w:sz="0"/>
            </w:tcBorders>
            <w:shd w:fill="F5F0EB" w:val="clear"/>
            <w:tcMar>
              <w:top w:type="dxa" w:w="50"/>
              <w:left w:type="dxa" w:w="140"/>
              <w:bottom w:type="dxa" w:w="50"/>
              <w:right w:type="dxa" w:w="140"/>
            </w:tcMar>
          </w:tcPr>
          <w:p/>
        </w:tc>
        <w:tc>
          <w:tcPr>
            <w:tcW w:type="dxa" w:w="2400"/>
            <w:tcBorders>
              <w:top w:val="single" w:color="C8461C" w:sz="2"/>
              <w:left w:val="none" w:color="FFFFFF" w:sz="0"/>
              <w:bottom w:val="single" w:color="C8461C" w:sz="2"/>
              <w:right w:val="none" w:color="FFFFFF" w:sz="0"/>
            </w:tcBorders>
            <w:shd w:fill="F5F0EB" w:val="clear"/>
            <w:tcMar>
              <w:top w:type="dxa" w:w="50"/>
              <w:left w:type="dxa" w:w="140"/>
              <w:bottom w:type="dxa" w:w="50"/>
              <w:right w:type="dxa" w:w="140"/>
            </w:tcMar>
          </w:tcPr>
          <w:p>
            <w:pPr>
              <w:jc w:val="right"/>
            </w:pPr>
            <w:r>
              <w:rPr>
                <w:rFonts w:ascii="Georgia" w:cs="Georgia" w:eastAsia="Georgia" w:hAnsi="Georgia"/>
                <w:b/>
                <w:bCs/>
                <w:color w:val="C8461C"/>
                <w:sz w:val="22"/>
                <w:szCs w:val="22"/>
              </w:rPr>
              <w:t xml:space="preserve">$8,354</w:t>
            </w:r>
          </w:p>
        </w:tc>
      </w:tr>
    </w:tbl>
    <w:p>
      <w:pPr>
        <w:spacing w:after="0" w:before="100"/>
      </w:pPr>
    </w:p>
    <w:p>
      <w:pPr>
        <w:spacing w:after="60" w:before="60" w:line="276"/>
        <w:jc w:val="left"/>
      </w:pPr>
      <w:r>
        <w:rPr>
          <w:rFonts w:ascii="Calibri" w:cs="Calibri" w:eastAsia="Calibri" w:hAnsi="Calibri"/>
          <w:b/>
          <w:bCs/>
          <w:color w:val="1A1210"/>
          <w:sz w:val="21"/>
          <w:szCs w:val="21"/>
        </w:rPr>
        <w:t xml:space="preserve">Payment terms: </w:t>
      </w:r>
      <w:r>
        <w:rPr>
          <w:rFonts w:ascii="Calibri" w:cs="Calibri" w:eastAsia="Calibri" w:hAnsi="Calibri"/>
          <w:color w:val="1A1210"/>
          <w:sz w:val="21"/>
          <w:szCs w:val="21"/>
        </w:rPr>
        <w:t xml:space="preserve">50% due upon signing of the engagement letter; 50% due upon delivery of the final written report. Travel expenses are included in the fixed fee and will not be invoiced separately.</w:t>
      </w:r>
    </w:p>
    <w:p>
      <w:pPr>
        <w:spacing w:after="0" w:before="60"/>
      </w:pPr>
    </w:p>
    <w:p>
      <w:pPr>
        <w:spacing w:after="60" w:before="60" w:line="276"/>
        <w:jc w:val="left"/>
      </w:pPr>
      <w:r>
        <w:rPr>
          <w:rFonts w:ascii="Calibri" w:cs="Calibri" w:eastAsia="Calibri" w:hAnsi="Calibri"/>
          <w:b/>
          <w:bCs/>
          <w:color w:val="1A1210"/>
          <w:sz w:val="21"/>
          <w:szCs w:val="21"/>
        </w:rPr>
        <w:t xml:space="preserve">What is not included: </w:t>
      </w:r>
      <w:r>
        <w:rPr>
          <w:rFonts w:ascii="Calibri" w:cs="Calibri" w:eastAsia="Calibri" w:hAnsi="Calibri"/>
          <w:color w:val="1A1210"/>
          <w:sz w:val="21"/>
          <w:szCs w:val="21"/>
        </w:rPr>
        <w:t xml:space="preserve">Implementation of audit recommendations, ongoing fundraising counsel, campaign management, or additional on-site visits beyond the two days specified. These services are available through Apollo Advancement's fractional development leadership and campaign consulting engagements, and can be discussed following the audit.</w:t>
      </w:r>
    </w:p>
    <w:p>
      <w:pPr>
        <w:spacing w:after="80" w:before="360"/>
      </w:pPr>
      <w:r>
        <w:rPr>
          <w:rFonts w:ascii="Georgia" w:cs="Georgia" w:eastAsia="Georgia" w:hAnsi="Georgia"/>
          <w:b/>
          <w:bCs/>
          <w:color w:val="1A1210"/>
          <w:sz w:val="28"/>
          <w:szCs w:val="28"/>
        </w:rPr>
        <w:t xml:space="preserve">About Apollo Advancement</w:t>
      </w:r>
    </w:p>
    <w:p>
      <w:pPr>
        <w:pBdr>
          <w:bottom w:val="single" w:color="C8461C" w:sz="6" w:space="1"/>
        </w:pBdr>
        <w:spacing w:after="200" w:before="0"/>
      </w:pPr>
    </w:p>
    <w:p>
      <w:pPr>
        <w:spacing w:after="60" w:before="60" w:line="276"/>
        <w:jc w:val="left"/>
      </w:pPr>
      <w:r>
        <w:rPr>
          <w:rFonts w:ascii="Calibri" w:cs="Calibri" w:eastAsia="Calibri" w:hAnsi="Calibri"/>
          <w:color w:val="1A1210"/>
          <w:sz w:val="21"/>
          <w:szCs w:val="21"/>
        </w:rPr>
        <w:t xml:space="preserve">Apollo Advancement is a fundraising consulting practice serving arts, education, and community nonprofits across Canada and the United States. Founded by John Jalsevac, PhD, the practice is built on a simple conviction: fundraising results follow from shifting organizational beliefs, not implementing tactics.</w:t>
      </w:r>
    </w:p>
    <w:p>
      <w:pPr>
        <w:spacing w:after="0" w:before="60"/>
      </w:pPr>
    </w:p>
    <w:p>
      <w:pPr>
        <w:spacing w:after="60" w:before="60" w:line="276"/>
        <w:jc w:val="left"/>
      </w:pPr>
      <w:r>
        <w:rPr>
          <w:rFonts w:ascii="Calibri" w:cs="Calibri" w:eastAsia="Calibri" w:hAnsi="Calibri"/>
          <w:b/>
          <w:bCs/>
          <w:color w:val="C8461C"/>
          <w:sz w:val="21"/>
          <w:szCs w:val="21"/>
        </w:rPr>
        <w:t xml:space="preserve">Relevant experience:</w:t>
      </w:r>
    </w:p>
    <w:p>
      <w:pPr>
        <w:spacing w:after="0" w:before="40"/>
      </w:pPr>
    </w:p>
    <w:p>
      <w:pPr>
        <w:pStyle w:val="ListParagraph"/>
        <w:numPr>
          <w:ilvl w:val="0"/>
          <w:numId w:val="2"/>
        </w:numPr>
        <w:spacing w:after="80" w:before="40" w:line="264"/>
      </w:pPr>
      <w:r>
        <w:rPr>
          <w:rFonts w:ascii="Calibri" w:cs="Calibri" w:eastAsia="Calibri" w:hAnsi="Calibri"/>
          <w:b/>
          <w:bCs/>
          <w:color w:val="1A1210"/>
          <w:sz w:val="21"/>
          <w:szCs w:val="21"/>
        </w:rPr>
        <w:t xml:space="preserve">Wayside Academy. </w:t>
      </w:r>
      <w:r>
        <w:rPr>
          <w:rFonts w:ascii="Calibri" w:cs="Calibri" w:eastAsia="Calibri" w:hAnsi="Calibri"/>
          <w:color w:val="1A1210"/>
          <w:sz w:val="21"/>
          <w:szCs w:val="21"/>
        </w:rPr>
        <w:t xml:space="preserve">As Headmaster, grew annual revenue from approximately $280K to over $600K and expanded the donor base from under 50 to more than 300 donors in a single year. Secured multiple major gifts including $150K and several $100K commitments.</w:t>
      </w:r>
    </w:p>
    <w:p>
      <w:pPr>
        <w:pStyle w:val="ListParagraph"/>
        <w:numPr>
          <w:ilvl w:val="0"/>
          <w:numId w:val="2"/>
        </w:numPr>
        <w:spacing w:after="80" w:before="40" w:line="264"/>
      </w:pPr>
      <w:r>
        <w:rPr>
          <w:rFonts w:ascii="Calibri" w:cs="Calibri" w:eastAsia="Calibri" w:hAnsi="Calibri"/>
          <w:b/>
          <w:bCs/>
          <w:color w:val="1A1210"/>
          <w:sz w:val="21"/>
          <w:szCs w:val="21"/>
        </w:rPr>
        <w:t xml:space="preserve">Peterborough Singers. </w:t>
      </w:r>
      <w:r>
        <w:rPr>
          <w:rFonts w:ascii="Calibri" w:cs="Calibri" w:eastAsia="Calibri" w:hAnsi="Calibri"/>
          <w:color w:val="1A1210"/>
          <w:sz w:val="21"/>
          <w:szCs w:val="21"/>
        </w:rPr>
        <w:t xml:space="preserve">Serving as Campaign Director for a $250K legacy fund. Grew the donor base from 80 to 325 donors and reached the $100K milestone within the first phase.</w:t>
      </w:r>
    </w:p>
    <w:p>
      <w:pPr>
        <w:pStyle w:val="ListParagraph"/>
        <w:numPr>
          <w:ilvl w:val="0"/>
          <w:numId w:val="2"/>
        </w:numPr>
        <w:spacing w:after="80" w:before="40" w:line="264"/>
      </w:pPr>
      <w:r>
        <w:rPr>
          <w:rFonts w:ascii="Calibri" w:cs="Calibri" w:eastAsia="Calibri" w:hAnsi="Calibri"/>
          <w:b/>
          <w:bCs/>
          <w:color w:val="1A1210"/>
          <w:sz w:val="21"/>
          <w:szCs w:val="21"/>
        </w:rPr>
        <w:t xml:space="preserve">LifeSiteNews. </w:t>
      </w:r>
      <w:r>
        <w:rPr>
          <w:rFonts w:ascii="Calibri" w:cs="Calibri" w:eastAsia="Calibri" w:hAnsi="Calibri"/>
          <w:color w:val="1A1210"/>
          <w:sz w:val="21"/>
          <w:szCs w:val="21"/>
        </w:rPr>
        <w:t xml:space="preserve">As Managing Director, scaled web traffic 810%, grew social media from 0 to 600,000+ followers, expanded the email list from 30,000 to 500,000+, and managed a budget of approximately $2M with up to 30 staff.</w:t>
      </w:r>
    </w:p>
    <w:p>
      <w:pPr>
        <w:spacing w:after="0" w:before="60"/>
      </w:pPr>
    </w:p>
    <w:p>
      <w:pPr>
        <w:spacing w:after="60" w:before="60" w:line="276"/>
        <w:jc w:val="left"/>
      </w:pPr>
      <w:r>
        <w:rPr>
          <w:rFonts w:ascii="Calibri" w:cs="Calibri" w:eastAsia="Calibri" w:hAnsi="Calibri"/>
          <w:color w:val="1A1210"/>
          <w:sz w:val="21"/>
          <w:szCs w:val="21"/>
        </w:rPr>
        <w:t xml:space="preserve">John holds a PhD in Philosophy from the University of Toronto (Centre for Medieval Studies, 4.0 GPA) and brings a distinctive combination of intellectual rigor, communications expertise, and hands-on fundraising experience. He has been a member of the Peterborough Singers for 15 years.</w:t>
      </w:r>
    </w:p>
    <w:p>
      <w:pPr>
        <w:spacing w:after="80" w:before="360"/>
      </w:pPr>
      <w:r>
        <w:rPr>
          <w:rFonts w:ascii="Georgia" w:cs="Georgia" w:eastAsia="Georgia" w:hAnsi="Georgia"/>
          <w:b/>
          <w:bCs/>
          <w:color w:val="1A1210"/>
          <w:sz w:val="28"/>
          <w:szCs w:val="28"/>
        </w:rPr>
        <w:t xml:space="preserve">Next Steps</w:t>
      </w:r>
    </w:p>
    <w:p>
      <w:pPr>
        <w:pBdr>
          <w:bottom w:val="single" w:color="C8461C" w:sz="6" w:space="1"/>
        </w:pBdr>
        <w:spacing w:after="200" w:before="0"/>
      </w:pPr>
    </w:p>
    <w:p>
      <w:pPr>
        <w:spacing w:after="60" w:before="60" w:line="276"/>
        <w:jc w:val="left"/>
      </w:pPr>
      <w:r>
        <w:rPr>
          <w:rFonts w:ascii="Calibri" w:cs="Calibri" w:eastAsia="Calibri" w:hAnsi="Calibri"/>
          <w:color w:val="1A1210"/>
          <w:sz w:val="21"/>
          <w:szCs w:val="21"/>
        </w:rPr>
        <w:t xml:space="preserve">If this proposal is acceptable, the next steps are straightforward:</w:t>
      </w:r>
    </w:p>
    <w:p>
      <w:pPr>
        <w:spacing w:after="0" w:before="40"/>
      </w:pPr>
    </w:p>
    <w:p>
      <w:pPr>
        <w:pStyle w:val="ListParagraph"/>
        <w:numPr>
          <w:ilvl w:val="0"/>
          <w:numId w:val="4"/>
        </w:numPr>
        <w:spacing w:after="80" w:before="40" w:line="264"/>
      </w:pPr>
      <w:r>
        <w:rPr>
          <w:rFonts w:ascii="Calibri" w:cs="Calibri" w:eastAsia="Calibri" w:hAnsi="Calibri"/>
          <w:b/>
          <w:bCs/>
          <w:color w:val="1A1210"/>
          <w:sz w:val="21"/>
          <w:szCs w:val="21"/>
        </w:rPr>
        <w:t xml:space="preserve">Engagement letter. </w:t>
      </w:r>
      <w:r>
        <w:rPr>
          <w:rFonts w:ascii="Calibri" w:cs="Calibri" w:eastAsia="Calibri" w:hAnsi="Calibri"/>
          <w:color w:val="1A1210"/>
          <w:sz w:val="21"/>
          <w:szCs w:val="21"/>
        </w:rPr>
        <w:t xml:space="preserve">Apollo Advancement will prepare a brief engagement letter formalizing the scope, timeline, and payment terms outlined in this proposal.</w:t>
      </w:r>
    </w:p>
    <w:p>
      <w:pPr>
        <w:pStyle w:val="ListParagraph"/>
        <w:numPr>
          <w:ilvl w:val="0"/>
          <w:numId w:val="4"/>
        </w:numPr>
        <w:spacing w:after="80" w:before="40" w:line="264"/>
      </w:pPr>
      <w:r>
        <w:rPr>
          <w:rFonts w:ascii="Calibri" w:cs="Calibri" w:eastAsia="Calibri" w:hAnsi="Calibri"/>
          <w:b/>
          <w:bCs/>
          <w:color w:val="1A1210"/>
          <w:sz w:val="21"/>
          <w:szCs w:val="21"/>
        </w:rPr>
        <w:t xml:space="preserve">Document request. </w:t>
      </w:r>
      <w:r>
        <w:rPr>
          <w:rFonts w:ascii="Calibri" w:cs="Calibri" w:eastAsia="Calibri" w:hAnsi="Calibri"/>
          <w:color w:val="1A1210"/>
          <w:sz w:val="21"/>
          <w:szCs w:val="21"/>
        </w:rPr>
        <w:t xml:space="preserve">Upon signing, Maryvale will receive a detailed list of documents and data to compile. The speed and completeness of this initial response is itself a useful early indicator.</w:t>
      </w:r>
    </w:p>
    <w:p>
      <w:pPr>
        <w:pStyle w:val="ListParagraph"/>
        <w:numPr>
          <w:ilvl w:val="0"/>
          <w:numId w:val="4"/>
        </w:numPr>
        <w:spacing w:after="80" w:before="40" w:line="264"/>
      </w:pPr>
      <w:r>
        <w:rPr>
          <w:rFonts w:ascii="Calibri" w:cs="Calibri" w:eastAsia="Calibri" w:hAnsi="Calibri"/>
          <w:b/>
          <w:bCs/>
          <w:color w:val="1A1210"/>
          <w:sz w:val="21"/>
          <w:szCs w:val="21"/>
        </w:rPr>
        <w:t xml:space="preserve">Scheduling. </w:t>
      </w:r>
      <w:r>
        <w:rPr>
          <w:rFonts w:ascii="Calibri" w:cs="Calibri" w:eastAsia="Calibri" w:hAnsi="Calibri"/>
          <w:color w:val="1A1210"/>
          <w:sz w:val="21"/>
          <w:szCs w:val="21"/>
        </w:rPr>
        <w:t xml:space="preserve">We will coordinate dates for the two-day on-site visit in Ottawa, ideally within the first two weeks of the engagement.</w:t>
      </w:r>
    </w:p>
    <w:p>
      <w:pPr>
        <w:spacing w:after="0" w:before="100"/>
      </w:pPr>
    </w:p>
    <w:p>
      <w:pPr>
        <w:spacing w:after="60" w:before="120" w:line="276"/>
        <w:jc w:val="left"/>
      </w:pPr>
      <w:r>
        <w:rPr>
          <w:rFonts w:ascii="Calibri" w:cs="Calibri" w:eastAsia="Calibri" w:hAnsi="Calibri"/>
          <w:color w:val="1A1210"/>
          <w:sz w:val="21"/>
          <w:szCs w:val="21"/>
        </w:rPr>
        <w:t xml:space="preserve">I look forward to working with the Maryvale board to build the foundation for a successful campaign.</w:t>
      </w:r>
    </w:p>
    <w:p>
      <w:pPr>
        <w:spacing w:after="0" w:before="200"/>
      </w:pPr>
    </w:p>
    <w:p>
      <w:pPr>
        <w:pBdr>
          <w:top w:val="single" w:color="C8461C" w:sz="2" w:space="8"/>
        </w:pBdr>
        <w:spacing w:after="0" w:before="0"/>
      </w:pPr>
    </w:p>
    <w:p>
      <w:pPr>
        <w:spacing w:after="40" w:before="120"/>
      </w:pPr>
      <w:r>
        <w:rPr>
          <w:rFonts w:ascii="Georgia" w:cs="Georgia" w:eastAsia="Georgia" w:hAnsi="Georgia"/>
          <w:b/>
          <w:bCs/>
          <w:color w:val="1A1210"/>
          <w:sz w:val="22"/>
          <w:szCs w:val="22"/>
        </w:rPr>
        <w:t xml:space="preserve">John Jalsevac, PhD</w:t>
      </w:r>
    </w:p>
    <w:p>
      <w:pPr>
        <w:spacing w:after="20"/>
      </w:pPr>
      <w:r>
        <w:rPr>
          <w:rFonts w:ascii="Calibri" w:cs="Calibri" w:eastAsia="Calibri" w:hAnsi="Calibri"/>
          <w:color w:val="6B5E54"/>
          <w:sz w:val="20"/>
          <w:szCs w:val="20"/>
        </w:rPr>
        <w:t xml:space="preserve">Apollo Advancement  |  Kawartha Lakes, Ontario</w:t>
      </w:r>
    </w:p>
    <w:p>
      <w:pPr>
        <w:spacing w:after="20"/>
      </w:pPr>
      <w:r>
        <w:rPr>
          <w:rFonts w:ascii="Calibri" w:cs="Calibri" w:eastAsia="Calibri" w:hAnsi="Calibri"/>
          <w:color w:val="6B5E54"/>
          <w:sz w:val="20"/>
          <w:szCs w:val="20"/>
        </w:rPr>
        <w:t xml:space="preserve">(705) 313-1588  |  jjalsevac@gmail.com</w:t>
      </w:r>
    </w:p>
    <w:p>
      <w:pPr>
        <w:spacing w:after="20"/>
      </w:pPr>
      <w:hyperlink w:history="1" r:id="rIdowkiov3vhmh7ghadcpke-">
        <w:r>
          <w:rPr>
            <w:rFonts w:ascii="Calibri" w:cs="Calibri" w:eastAsia="Calibri" w:hAnsi="Calibri"/>
            <w:color w:val="C8461C"/>
            <w:sz w:val="20"/>
            <w:szCs w:val="20"/>
          </w:rPr>
          <w:t xml:space="preserve">apolloadvancement.com</w:t>
        </w:r>
      </w:hyperlink>
    </w:p>
    <w:sectPr>
      <w:headerReference w:type="default" r:id="rId7"/>
      <w:footerReference w:type="default" r:id="rId8"/>
      <w:pgSz w:w="12240" w:h="15840" w:orient="portrait"/>
      <w:pgMar w:top="144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5E54"/>
        <w:sz w:val="16"/>
        <w:szCs w:val="16"/>
      </w:rPr>
      <w:t xml:space="preserve">Page </w:t>
    </w:r>
    <w:r>
      <w:rPr>
        <w:rFonts w:ascii="Calibri" w:cs="Calibri" w:eastAsia="Calibri" w:hAnsi="Calibri"/>
        <w:color w:val="6B5E5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D6CC" w:sz="1" w:space="4"/>
      </w:pBdr>
      <w:spacing w:after="120"/>
    </w:pPr>
    <w:r>
      <w:rPr>
        <w:rFonts w:ascii="Georgia" w:cs="Georgia" w:eastAsia="Georgia" w:hAnsi="Georgia"/>
        <w:color w:val="6B5E54"/>
        <w:sz w:val="16"/>
        <w:szCs w:val="16"/>
      </w:rPr>
      <w:t xml:space="preserve">Apollo Advancement</w:t>
    </w:r>
    <w:r>
      <w:rPr>
        <w:rFonts w:ascii="Calibri" w:cs="Calibri" w:eastAsia="Calibri" w:hAnsi="Calibri"/>
        <w:color w:val="D0C8C0"/>
        <w:sz w:val="16"/>
        <w:szCs w:val="16"/>
      </w:rPr>
      <w:t xml:space="preserve">  |  </w:t>
    </w:r>
    <w:r>
      <w:rPr>
        <w:rFonts w:ascii="Calibri" w:cs="Calibri" w:eastAsia="Calibri" w:hAnsi="Calibri"/>
        <w:color w:val="6B5E54"/>
        <w:sz w:val="16"/>
        <w:szCs w:val="16"/>
      </w:rPr>
      <w:t xml:space="preserve">Development Audit Proposal for Maryvale Academy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21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owkiov3vhmh7ghadcpke-" Type="http://schemas.openxmlformats.org/officeDocument/2006/relationships/hyperlink" Target="https://apolloadvancement.com"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2026-04-18T01:25:27.612Z</dcterms:created>
  <dcterms:modified xsi:type="dcterms:W3CDTF">2026-04-18T01:25:27.612Z</dcterms:modified>
</cp:coreProperties>
</file>

<file path=docProps/custom.xml><?xml version="1.0" encoding="utf-8"?>
<Properties xmlns="http://schemas.openxmlformats.org/officeDocument/2006/custom-properties" xmlns:vt="http://schemas.openxmlformats.org/officeDocument/2006/docPropsVTypes"/>
</file>