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Holiday Explorers (HX)</w:t>
        <w:br/>
        <w:t>Website Brief</w:t>
      </w:r>
    </w:p>
    <w:p>
      <w:pPr>
        <w:jc w:val="center"/>
      </w:pPr>
      <w:r>
        <w:t>Brief for the current Holiday Explorers website (index.html)</w:t>
      </w:r>
    </w:p>
    <w:p>
      <w:pPr>
        <w:pStyle w:val="Heading1"/>
      </w:pPr>
      <w:r>
        <w:t>1. Website purpose</w:t>
      </w:r>
    </w:p>
    <w:p>
      <w:r>
        <w:t>The website presents Holiday Explorers (HX) as a South Australian organisation focused on community connection, participation and social inclusion. It explains HX’s current direction, introduces its Board, outlines how programs work and provides a clear way for participants, families, volunteers and partner organisations to make contact.</w:t>
      </w:r>
    </w:p>
    <w:p>
      <w:pPr>
        <w:pStyle w:val="Heading1"/>
      </w:pPr>
      <w:r>
        <w:t>2. Core message</w:t>
      </w:r>
    </w:p>
    <w:p>
      <w:r>
        <w:rPr>
          <w:b/>
        </w:rPr>
        <w:t xml:space="preserve">Current announcement: </w:t>
      </w:r>
      <w:r>
        <w:t>“We are still here !!! An entire new board has been appointed with deep Holiday Explorers experience to steer our community’s shared future.”</w:t>
      </w:r>
    </w:p>
    <w:p>
      <w:r>
        <w:t>The Home section reinforces continuity and community with the hero message “Rediscovering Community, Together” and the embedded image message “Creating connection and community since 1989.”</w:t>
      </w:r>
    </w:p>
    <w:p>
      <w:pPr>
        <w:pStyle w:val="Heading1"/>
      </w:pPr>
      <w:r>
        <w:t>3. Audience</w:t>
      </w:r>
    </w:p>
    <w:p>
      <w:pPr>
        <w:pStyle w:val="ListBullet"/>
      </w:pPr>
      <w:r>
        <w:t>People with learning difficulties seeking community activities and social connection, together with their family carers and support workers.</w:t>
      </w:r>
    </w:p>
    <w:p>
      <w:pPr>
        <w:pStyle w:val="ListBullet"/>
      </w:pPr>
      <w:r>
        <w:t>Families and supporters.</w:t>
      </w:r>
    </w:p>
    <w:p>
      <w:pPr>
        <w:pStyle w:val="ListBullet"/>
      </w:pPr>
      <w:r>
        <w:t>Volunteers and prospective volunteers.</w:t>
      </w:r>
    </w:p>
    <w:p>
      <w:pPr>
        <w:pStyle w:val="ListBullet"/>
      </w:pPr>
      <w:r>
        <w:t>Community organisations and potential program partners.</w:t>
      </w:r>
    </w:p>
    <w:p>
      <w:pPr>
        <w:pStyle w:val="ListBullet"/>
      </w:pPr>
      <w:r>
        <w:t>People wanting to understand HX’s new direction and governance.</w:t>
      </w:r>
    </w:p>
    <w:p>
      <w:pPr>
        <w:pStyle w:val="Heading1"/>
      </w:pPr>
      <w:r>
        <w:t>4. Current website structure</w:t>
      </w:r>
    </w:p>
    <w:p>
      <w:r>
        <w:rPr>
          <w:b/>
        </w:rPr>
        <w:t>Home: Introduces the organisation, key message and calls to action: Explore Programs and Get Involved. Introductory copy: “We connect people with learning difficulties to community activities that build friendships, confidence, and belonging. We also provide similar services to their family carers and support workers.”</w:t>
      </w:r>
      <w:r/>
    </w:p>
    <w:p>
      <w:r>
        <w:rPr>
          <w:b/>
        </w:rPr>
        <w:t xml:space="preserve">Programs: </w:t>
      </w:r>
      <w:r>
        <w:t>Explains that HX connects people to existing community events and adds the support needed to participate.</w:t>
      </w:r>
      <w:r>
        <w:t xml:space="preserve"> Section introduction begins: “We run activities in collaboration.”</w:t>
      </w:r>
    </w:p>
    <w:p>
      <w:r>
        <w:rPr>
          <w:b/>
        </w:rPr>
        <w:t>How It Works: Uses a three-step model: Connect, Facilitate and Participate. Step 1 Connect: “We link you to established community events like Parkrun, aquatic activities, sporting events, festivals, and various other local outings.”</w:t>
      </w:r>
      <w:r/>
      <w:r>
        <w:t xml:space="preserve"> Section introduction: “We are an empathetic facilitator who understand how to connect you to existing community programs and add social support.”</w:t>
      </w:r>
    </w:p>
    <w:p>
      <w:r>
        <w:rPr>
          <w:b/>
        </w:rPr>
        <w:t>About Holiday Explorers (HX): Summarises HX’s history since 1989 and its 2026 move from direct service provider to community facilitator. Mission: “To build social inclusion, independence, and wellbeing for people with disability and offer respite for their older family carers and support workers.”</w:t>
      </w:r>
      <w:r/>
    </w:p>
    <w:p>
      <w:r>
        <w:rPr>
          <w:b/>
        </w:rPr>
        <w:t xml:space="preserve">Board Members: </w:t>
      </w:r>
      <w:r>
        <w:t>Introduces the current Board and its experience.</w:t>
      </w:r>
    </w:p>
    <w:p>
      <w:r>
        <w:t>Contact: Provides email, postal address and a contact form. The former “Follow us” social-media block has been removed from the current index.html.</w:t>
      </w:r>
    </w:p>
    <w:p>
      <w:pPr>
        <w:pStyle w:val="Heading1"/>
      </w:pPr>
      <w:r>
        <w:t>5. Board information</w:t>
      </w:r>
    </w:p>
    <w:p>
      <w:pPr>
        <w:pStyle w:val="ListBullet"/>
      </w:pPr>
      <w:r>
        <w:rPr>
          <w:b/>
        </w:rPr>
        <w:t>John Miller — Chairperson</w:t>
      </w:r>
      <w:r>
        <w:t>: Former Board member and Chair of HX, former Board member and Chair of Tutti Arts, risk management and governance experience, and current Commercial and Advisory Board experience.</w:t>
      </w:r>
    </w:p>
    <w:p>
      <w:pPr>
        <w:pStyle w:val="ListBullet"/>
      </w:pPr>
      <w:r>
        <w:rPr>
          <w:b/>
        </w:rPr>
        <w:t>Chris Air — Vice-chairperson and Treasurer</w:t>
      </w:r>
      <w:r>
        <w:t>: Former HX Board member and Treasurer of Holiday Explorers; seasoned executive with more than 30 years in financial services.</w:t>
      </w:r>
    </w:p>
    <w:p>
      <w:pPr>
        <w:pStyle w:val="ListBullet"/>
      </w:pPr>
      <w:r>
        <w:rPr>
          <w:b/>
        </w:rPr>
        <w:t>Andrew Downing — Secretary</w:t>
      </w:r>
      <w:r>
        <w:t>: Emeritus Professor of Engineering at Flinders University; current Board member and former President/Chair of Tutti Arts; former Director and President of Novita Children’s Services.</w:t>
      </w:r>
    </w:p>
    <w:p>
      <w:pPr>
        <w:pStyle w:val="ListBullet"/>
      </w:pPr>
      <w:r>
        <w:rPr>
          <w:b/>
        </w:rPr>
        <w:t>Lisa Albinus</w:t>
      </w:r>
      <w:r>
        <w:t>: Former HX Executive Officer for 19 years, with 30 years of disability-sector leadership, tourism business ownership and health and wellbeing entrepreneurship.</w:t>
      </w:r>
    </w:p>
    <w:p>
      <w:pPr>
        <w:pStyle w:val="ListBullet"/>
      </w:pPr>
      <w:r>
        <w:rPr>
          <w:b/>
        </w:rPr>
        <w:t>David Williams</w:t>
      </w:r>
      <w:r>
        <w:t>: Former HX Board member and Secretary; MD and CEO for 20+ years of ASX-listed companies and former partner of one of Australia’s largest legal firms.</w:t>
      </w:r>
    </w:p>
    <w:p>
      <w:pPr>
        <w:pStyle w:val="ListBullet"/>
      </w:pPr>
      <w:r>
        <w:rPr>
          <w:b/>
        </w:rPr>
        <w:t>Tamara Illman</w:t>
      </w:r>
      <w:r>
        <w:t>: Former HX team member with significant management and operational experience in the disability sector;</w:t>
      </w:r>
    </w:p>
    <w:p>
      <w:pPr>
        <w:pStyle w:val="ListBullet"/>
      </w:pPr>
      <w:r>
        <w:rPr>
          <w:b/>
        </w:rPr>
      </w:r>
      <w:r/>
    </w:p>
    <w:p>
      <w:pPr>
        <w:pStyle w:val="Heading1"/>
      </w:pPr>
      <w:r>
        <w:t>6. Design and user experience</w:t>
      </w:r>
    </w:p>
    <w:p>
      <w:r>
        <w:t>The current design uses a single-page navigation structure with anchored menu links. The layout is intended to work on standard desktop and mobile screens, with responsive menu/link alignment that accounts for the header height. The Home section combines introductory copy with an embedded coastal HX image. The overall visual direction is friendly, accessible and community-focused. The current hero asset is Coastal Connection and Community(2).png, supplied by the user and embedded directly in index.html. The image shows small Holiday Explorers logos centred on both backpacks, approximately 20% of each backpack’s width and one quarter down from the top. The logo omits “more than a holiday”. The sailboat is farther offshore and approximately 40% of its original apparent size. The headline and yellow underline are retained.</w:t>
      </w:r>
    </w:p>
    <w:p>
      <w:pPr>
        <w:pStyle w:val="Heading1"/>
      </w:pPr>
      <w:r>
        <w:t>7. Key functional requirements</w:t>
      </w:r>
    </w:p>
    <w:p>
      <w:pPr>
        <w:pStyle w:val="ListBullet"/>
      </w:pPr>
      <w:r>
        <w:t>All menu and in-page links should land below the header and remain usable on desktop and mobile.</w:t>
      </w:r>
    </w:p>
    <w:p>
      <w:pPr>
        <w:pStyle w:val="ListBullet"/>
      </w:pPr>
      <w:r>
        <w:t>The Explore Programs and Get Involved buttons should retain readable text in normal, hover, focus and active states.</w:t>
      </w:r>
    </w:p>
    <w:p>
      <w:pPr>
        <w:pStyle w:val="ListBullet"/>
      </w:pPr>
      <w:r>
        <w:t>The embedded Home image should remain self-contained within the HTML so the page can be moved without a separate image dependency.</w:t>
      </w:r>
    </w:p>
    <w:p>
      <w:pPr>
        <w:pStyle w:val="ListBullet"/>
      </w:pPr>
      <w:r>
        <w:t>Board information and organisational messaging should be easy to update.</w:t>
      </w:r>
    </w:p>
    <w:p>
      <w:pPr>
        <w:pStyle w:val="ListBullet"/>
      </w:pPr>
      <w:r>
        <w:t>Email links should open the visitor’s email application.</w:t>
      </w:r>
    </w:p>
    <w:p>
      <w:pPr>
        <w:pStyle w:val="Heading1"/>
      </w:pPr>
      <w:r>
        <w:t>8. Items to complete before publishing</w:t>
      </w:r>
    </w:p>
    <w:p>
      <w:pPr>
        <w:pStyle w:val="ListBullet"/>
      </w:pPr>
      <w:r>
        <w:t>The contact form is now configured for Web3Forms; verify that the access key is active and test successful delivery to the registered recipient email address.</w:t>
      </w:r>
    </w:p>
    <w:p>
      <w:pPr>
        <w:pStyle w:val="ListBullet"/>
      </w:pPr>
      <w:r>
        <w:t>Social-media links are currently removed from index.html. If the “Follow us” block is reinstated, replace placeholder links with verified Holiday Explorers Facebook and Instagram destinations before publishing.</w:t>
      </w:r>
    </w:p>
    <w:p>
      <w:pPr>
        <w:pStyle w:val="ListBullet"/>
      </w:pPr>
      <w:r>
        <w:t>Complete browser and mobile testing, including button hover/focus states and navigation alignment.</w:t>
      </w:r>
    </w:p>
    <w:p>
      <w:pPr>
        <w:pStyle w:val="ListBullet"/>
      </w:pPr>
      <w:r>
        <w:t>Review all final wording, punctuation and capitalisation before launch.</w:t>
      </w:r>
    </w:p>
    <w:p>
      <w:pPr>
        <w:pStyle w:val="ListBullet"/>
      </w:pPr>
      <w:r>
        <w:t>Confirm accessibility basics such as keyboard navigation, meaningful alternative text, colour contrast and visible focus states.</w:t>
      </w:r>
    </w:p>
    <w:p>
      <w:pPr>
        <w:pStyle w:val="Heading1"/>
      </w:pPr>
      <w:r>
        <w:t>9. Current contact details shown</w:t>
      </w:r>
    </w:p>
    <w:p>
      <w:r>
        <w:t>Email: reception@holidayexplorers.com.au</w:t>
      </w:r>
    </w:p>
    <w:p>
      <w:r>
        <w:t>Postal Address: PO Box 4075, Norwood South 5067</w:t>
      </w:r>
    </w:p>
    <w:p>
      <w:r>
        <w:t>ABN: 93 927 226 721</w:t>
      </w:r>
    </w:p>
    <w:p>
      <w:pPr>
        <w:pStyle w:val="Heading2"/>
      </w:pPr>
      <w:r>
        <w:t>9A. Removed social-media block — restoration reference</w:t>
      </w:r>
    </w:p>
    <w:p>
      <w:pPr/>
      <w:r>
        <w:t>Current status: The “Follow us” section was removed from the Contact area of index.html, including its heading, supporting sentence and both social-media icon links. It should not appear on the current website.</w:t>
      </w:r>
    </w:p>
    <w:p>
      <w:pPr/>
      <w:r>
        <w:t>Previous heading: Follow us</w:t>
      </w:r>
    </w:p>
    <w:p>
      <w:pPr/>
      <w:r>
        <w:t>Previous supporting text: Stay updated on our programs and events.</w:t>
      </w:r>
    </w:p>
    <w:p>
      <w:pPr/>
      <w:r>
        <w:t>Previous links/icons: Facebook (📘) and Instagram (📸). The removed links were placeholders (#), not verified Holiday Explorers social-media addresses.</w:t>
      </w:r>
    </w:p>
    <w:p>
      <w:pPr/>
      <w:r>
        <w:t>To restore: Add a “Follow us” block back into the Contact section, using the heading and supporting text above, with accessible links/icons for Facebook and Instagram. Obtain and verify the organisation’s actual Facebook and Instagram URLs; do not restore the old placeholder links. Check mobile layout, keyboard access, accessible link labels and external-link behaviour before publishing.</w:t>
      </w:r>
    </w:p>
    <w:p>
      <w:pPr/>
      <w:r>
        <w:t>This restoration reference documents the removed feature only; it does not instruct that social-media links be displayed now.</w:t>
      </w:r>
    </w:p>
    <w:p>
      <w:pPr>
        <w:pStyle w:val="Heading1"/>
      </w:pPr>
      <w:r>
        <w:t>10. Working file</w:t>
      </w:r>
    </w:p>
    <w:p>
      <w:r>
        <w:t>Current publication file: index.html, hosted through GitHub Pages. Earlier working draft: hx_draft_website.html.</w:t>
      </w:r>
    </w:p>
    <w:p>
      <w:pPr>
        <w:pStyle w:val="Heading1"/>
      </w:pPr>
      <w:r>
        <w:t>11. Website publication and Web3Forms update</w:t>
      </w:r>
    </w:p>
    <w:p>
      <w:r>
        <w:t>Published website: https://john-nmn-miller.github.io/holiday-explorers/</w:t>
      </w:r>
    </w:p>
    <w:p>
      <w:r>
        <w:t>GitHub repository: https://github.com/john-nmn-miller/holiday-explorers</w:t>
      </w:r>
    </w:p>
    <w:p>
      <w:r>
        <w:t>The website is published using GitHub Pages. The homepage file is named index.html. Updating and committing index.html to the repository's publishing branch triggers a new deployment.</w:t>
      </w:r>
    </w:p>
    <w:p>
      <w:r>
        <w:t>The contact form previously submitted a POST request to the static GitHub Pages site, resulting in HTTP 405 (Method Not Allowed). The form now submits to Web3Forms, which processes the request separately.</w:t>
      </w:r>
    </w:p>
    <w:p>
      <w:pPr>
        <w:pStyle w:val="Heading1"/>
      </w:pPr>
      <w:r>
        <w:t>12. Form configuration and key reference</w:t>
      </w:r>
    </w:p>
    <w:tbl>
      <w:tblPr>
        <w:tblStyle w:val="LightShading-Accent1"/>
        <w:tblW w:type="auto" w:w="0"/>
        <w:tblLook w:firstColumn="1" w:firstRow="1" w:lastColumn="0" w:lastRow="0" w:noHBand="0" w:noVBand="1" w:val="04A0"/>
      </w:tblPr>
      <w:tblGrid>
        <w:gridCol w:w="4968"/>
        <w:gridCol w:w="4968"/>
      </w:tblGrid>
      <w:tr>
        <w:tc>
          <w:tcPr>
            <w:tcW w:type="dxa" w:w="4968"/>
          </w:tcPr>
          <w:p>
            <w:r>
              <w:t>Submission endpoint</w:t>
            </w:r>
          </w:p>
        </w:tc>
        <w:tc>
          <w:tcPr>
            <w:tcW w:type="dxa" w:w="4968"/>
          </w:tcPr>
          <w:p>
            <w:r>
              <w:t>https://api.web3forms.com/submit</w:t>
            </w:r>
          </w:p>
        </w:tc>
      </w:tr>
      <w:tr>
        <w:tc>
          <w:tcPr>
            <w:tcW w:type="dxa" w:w="4968"/>
          </w:tcPr>
          <w:p>
            <w:r>
              <w:t>Form method</w:t>
            </w:r>
          </w:p>
        </w:tc>
        <w:tc>
          <w:tcPr>
            <w:tcW w:type="dxa" w:w="4968"/>
          </w:tcPr>
          <w:p>
            <w:r>
              <w:t>POST</w:t>
            </w:r>
          </w:p>
        </w:tc>
      </w:tr>
      <w:tr>
        <w:tc>
          <w:tcPr>
            <w:tcW w:type="dxa" w:w="4968"/>
          </w:tcPr>
          <w:p>
            <w:r>
              <w:t>Access key</w:t>
            </w:r>
          </w:p>
        </w:tc>
        <w:tc>
          <w:tcPr>
            <w:tcW w:type="dxa" w:w="4968"/>
          </w:tcPr>
          <w:p>
            <w:r>
              <w:t>14a6b49c-8a4a-4dec-964f-9e1b5e556749</w:t>
            </w:r>
          </w:p>
        </w:tc>
      </w:tr>
      <w:tr>
        <w:tc>
          <w:tcPr>
            <w:tcW w:type="dxa" w:w="4968"/>
          </w:tcPr>
          <w:p>
            <w:r>
              <w:t>Key field</w:t>
            </w:r>
          </w:p>
        </w:tc>
        <w:tc>
          <w:tcPr>
            <w:tcW w:type="dxa" w:w="4968"/>
          </w:tcPr>
          <w:p>
            <w:r>
              <w:t>Hidden input: name="access_key"</w:t>
            </w:r>
          </w:p>
        </w:tc>
      </w:tr>
      <w:tr>
        <w:tc>
          <w:tcPr>
            <w:tcW w:type="dxa" w:w="4968"/>
          </w:tcPr>
          <w:p>
            <w:r>
              <w:t>Subject</w:t>
            </w:r>
          </w:p>
        </w:tc>
        <w:tc>
          <w:tcPr>
            <w:tcW w:type="dxa" w:w="4968"/>
          </w:tcPr>
          <w:p>
            <w:r>
              <w:t>hx_website_enquiry_New enquiry from Holiday Explorers website</w:t>
            </w:r>
          </w:p>
        </w:tc>
      </w:tr>
      <w:tr>
        <w:tc>
          <w:tcPr>
            <w:tcW w:type="dxa" w:w="4968"/>
          </w:tcPr>
          <w:p>
            <w:r>
              <w:t>Sender label</w:t>
            </w:r>
          </w:p>
        </w:tc>
        <w:tc>
          <w:tcPr>
            <w:tcW w:type="dxa" w:w="4968"/>
          </w:tcPr>
          <w:p>
            <w:r>
              <w:t>Holiday Explorers website</w:t>
            </w:r>
          </w:p>
        </w:tc>
      </w:tr>
      <w:tr>
        <w:tc>
          <w:tcPr>
            <w:tcW w:type="dxa" w:w="4968"/>
          </w:tcPr>
          <w:p>
            <w:r>
              <w:t>Visitor fields</w:t>
            </w:r>
          </w:p>
        </w:tc>
        <w:tc>
          <w:tcPr>
            <w:tcW w:type="dxa" w:w="4968"/>
          </w:tcPr>
          <w:p>
            <w:r>
              <w:t>Name, email, phone, interest and message</w:t>
            </w:r>
          </w:p>
        </w:tc>
      </w:tr>
      <w:tr>
        <w:tc>
          <w:tcPr>
            <w:tcW w:type="dxa" w:w="4968"/>
          </w:tcPr>
          <w:p>
            <w:r>
              <w:t>Spam protection</w:t>
            </w:r>
          </w:p>
        </w:tc>
        <w:tc>
          <w:tcPr>
            <w:tcW w:type="dxa" w:w="4968"/>
          </w:tcPr>
          <w:p>
            <w:r>
              <w:t>Hidden botcheck checkbox</w:t>
            </w:r>
          </w:p>
        </w:tc>
      </w:tr>
      <w:tr>
        <w:tc>
          <w:tcPr>
            <w:tcW w:type="dxa" w:w="4968"/>
          </w:tcPr>
          <w:p>
            <w:r>
              <w:t>Recipient</w:t>
            </w:r>
          </w:p>
        </w:tc>
        <w:tc>
          <w:tcPr>
            <w:tcW w:type="dxa" w:w="4968"/>
          </w:tcPr>
          <w:p>
            <w:r>
              <w:t>Controlled by the email registered to the Web3Forms access key; verify in Web3Forms</w:t>
            </w:r>
          </w:p>
        </w:tc>
      </w:tr>
      <w:tr>
        <w:tc>
          <w:tcPr>
            <w:tcW w:type="dxa" w:w="4968"/>
          </w:tcPr>
          <w:p>
            <w:r>
              <w:t>Website file</w:t>
            </w:r>
          </w:p>
        </w:tc>
        <w:tc>
          <w:tcPr>
            <w:tcW w:type="dxa" w:w="4968"/>
          </w:tcPr>
          <w:p>
            <w:r>
              <w:t>index.html</w:t>
            </w:r>
          </w:p>
        </w:tc>
      </w:tr>
    </w:tbl>
    <w:p>
      <w:r>
        <w:t>Key handling: This access key is embedded in public-facing HTML and is therefore visible to visitors. Keep account passwords and administrative credentials out of the website and this brief. If the key is abused or replaced, generate a new Web3Forms access key and update the hidden input in index.html.</w:t>
      </w:r>
    </w:p>
    <w:p>
      <w:pPr>
        <w:pStyle w:val="Heading1"/>
      </w:pPr>
      <w:r>
        <w:t>13. Publishing and acceptance checks</w:t>
      </w:r>
    </w:p>
    <w:p>
      <w:pPr>
        <w:pStyle w:val="ListBullet"/>
      </w:pPr>
      <w:r>
        <w:t>Download or edit the latest index.html; confirm the Web3Forms access key is present.</w:t>
      </w:r>
    </w:p>
    <w:p>
      <w:pPr>
        <w:pStyle w:val="ListBullet"/>
      </w:pPr>
      <w:r>
        <w:t>Upload/commit index.html in the GitHub repository's publishing branch.</w:t>
      </w:r>
    </w:p>
    <w:p>
      <w:pPr>
        <w:pStyle w:val="ListBullet"/>
      </w:pPr>
      <w:r>
        <w:t>Check the repository Actions/Pages deployment status and refresh the public URL.</w:t>
      </w:r>
    </w:p>
    <w:p>
      <w:pPr>
        <w:pStyle w:val="ListBullet"/>
      </w:pPr>
      <w:r>
        <w:t>Submit a test enquiry and confirm receipt in the Web3Forms-registered inbox (including spam/junk).</w:t>
      </w:r>
    </w:p>
    <w:p>
      <w:pPr>
        <w:pStyle w:val="ListBullet"/>
      </w:pPr>
      <w:r>
        <w:t>Check required-field validation, mobile layout, internal navigation and Explore Programs button hover contrast.</w:t>
      </w:r>
    </w:p>
    <w:p>
      <w:pPr>
        <w:pStyle w:val="ListBullet"/>
      </w:pPr>
      <w:r>
        <w:t>Keep a backup of the working HTML before each major revision.</w:t>
      </w:r>
    </w:p>
    <w:p>
      <w:pPr>
        <w:pStyle w:val="Heading1"/>
      </w:pPr>
      <w:r>
        <w:t>14. Email subject prefix</w:t>
      </w:r>
    </w:p>
    <w:p>
      <w:r>
        <w:t>Every enquiry submitted through the Holiday Explorers website contact form uses the Web3Forms hidden subject field with the fixed prefix hx_website_enquiry_.</w:t>
      </w:r>
    </w:p>
    <w:p>
      <w:r>
        <w:t>Configured full subject: hx_website_enquiry_New enquiry from Holiday Explorers website</w:t>
      </w:r>
    </w:p>
    <w:p>
      <w:r>
        <w:t>This prefix is set in index.html before submission to Web3Forms. After republishing, submit a test enquiry and verify that the received email subject starts with hx_website_enquiry_.</w:t>
      </w:r>
    </w:p>
    <w:p>
      <w:pPr>
        <w:pStyle w:val="Heading1"/>
      </w:pPr>
      <w:r>
        <w:t>15. Web3Forms key confirmation and reception routing</w:t>
      </w:r>
    </w:p>
    <w:p>
      <w:r>
        <w:t>Confirmed form access key in index.html: 14a6b49c-8a4a-4dec-964f-9e1b5e556749. The user supplied this key again on 10 October 2026; no key rotation was necessary because it matches the existing configuration.</w:t>
      </w:r>
    </w:p>
    <w:p>
      <w:r>
        <w:t>Intended recipient mailbox: board@holidayexplorers.com.au. Web3Forms routes enquiries to the mailbox associated with the access key. The HTML form does not independently establish or verify that association; confirm the mailbox in Web3Forms and test delivery.</w:t>
      </w:r>
    </w:p>
    <w:p>
      <w:r>
        <w:t>Configured subject: hx_website_enquiry_New enquiry from Holiday Explorers website. The fixed hx_website_enquiry_ prefix is retained.</w:t>
      </w:r>
    </w:p>
    <w:p>
      <w:r>
        <w:t>Verification procedure: Publish the latest index.html through the GitHub repository, submit a test enquiry from the public site, and confirm that the board mailbox receives it with the expected subject. Check junk/spam and Web3Forms account verification if necessary.</w:t>
      </w:r>
    </w:p>
    <w:p>
      <w:r>
        <w:br w:type="page"/>
      </w:r>
    </w:p>
    <w:p>
      <w:pPr>
        <w:pStyle w:val="Heading1"/>
      </w:pPr>
      <w:r>
        <w:t>Deployment — Connect holidayexplorers.au to GitHub Pages</w:t>
      </w:r>
    </w:p>
    <w:p>
      <w:r>
        <w:t>Purpose: Publish the existing Holiday Explorers website at https://holidayexplorers.au while retaining GitHub Pages hosting. Configure www.holidayexplorers.au as an alternate address that redirects to the primary domain.</w:t>
      </w:r>
    </w:p>
    <w:p>
      <w:pPr>
        <w:pStyle w:val="Heading2"/>
      </w:pPr>
      <w:r>
        <w:t>1. Confirm GitHub Pages publishing</w:t>
      </w:r>
    </w:p>
    <w:p>
      <w:r>
        <w:t>Open https://github.com/john-nmn-miller/holiday-explorers/settings/pages and sign in. Under Build and deployment, confirm Source: Deploy from a branch; Branch: main; Folder: / (root). Save any changes.</w:t>
      </w:r>
    </w:p>
    <w:p>
      <w:pPr>
        <w:pStyle w:val="Heading2"/>
      </w:pPr>
      <w:r>
        <w:t>2. Set the custom domain</w:t>
      </w:r>
    </w:p>
    <w:p>
      <w:r>
        <w:t>In Settings → Pages → Custom domain, enter holidayexplorers.au (without https://), then select Save. GitHub may create or update the CNAME file in the repository.</w:t>
      </w:r>
    </w:p>
    <w:p>
      <w:pPr>
        <w:pStyle w:val="Heading2"/>
      </w:pPr>
      <w:r>
        <w:t>3. Configure DNS at the domain registrar</w:t>
      </w:r>
    </w:p>
    <w:p>
      <w:r>
        <w:t>At the provider managing holidayexplorers.au, create or verify the following records: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Type</w:t>
            </w:r>
          </w:p>
        </w:tc>
        <w:tc>
          <w:tcPr>
            <w:tcW w:type="dxa" w:w="3312"/>
          </w:tcPr>
          <w:p>
            <w:r>
              <w:t>Host / Name</w:t>
            </w:r>
          </w:p>
        </w:tc>
        <w:tc>
          <w:tcPr>
            <w:tcW w:type="dxa" w:w="3312"/>
          </w:tcPr>
          <w:p>
            <w:r>
              <w:t>Target / Value</w:t>
            </w:r>
          </w:p>
        </w:tc>
      </w:tr>
      <w:tr>
        <w:tc>
          <w:tcPr>
            <w:tcW w:type="dxa" w:w="3312"/>
          </w:tcPr>
          <w:p>
            <w:r>
              <w:t>A</w:t>
            </w:r>
          </w:p>
        </w:tc>
        <w:tc>
          <w:tcPr>
            <w:tcW w:type="dxa" w:w="3312"/>
          </w:tcPr>
          <w:p>
            <w:r>
              <w:t>@</w:t>
            </w:r>
          </w:p>
        </w:tc>
        <w:tc>
          <w:tcPr>
            <w:tcW w:type="dxa" w:w="3312"/>
          </w:tcPr>
          <w:p>
            <w:r>
              <w:t>185.199.108.153</w:t>
            </w:r>
          </w:p>
        </w:tc>
      </w:tr>
      <w:tr>
        <w:tc>
          <w:tcPr>
            <w:tcW w:type="dxa" w:w="3312"/>
          </w:tcPr>
          <w:p>
            <w:r>
              <w:t>A</w:t>
            </w:r>
          </w:p>
        </w:tc>
        <w:tc>
          <w:tcPr>
            <w:tcW w:type="dxa" w:w="3312"/>
          </w:tcPr>
          <w:p>
            <w:r>
              <w:t>@</w:t>
            </w:r>
          </w:p>
        </w:tc>
        <w:tc>
          <w:tcPr>
            <w:tcW w:type="dxa" w:w="3312"/>
          </w:tcPr>
          <w:p>
            <w:r>
              <w:t>185.199.109.153</w:t>
            </w:r>
          </w:p>
        </w:tc>
      </w:tr>
      <w:tr>
        <w:tc>
          <w:tcPr>
            <w:tcW w:type="dxa" w:w="3312"/>
          </w:tcPr>
          <w:p>
            <w:r>
              <w:t>A</w:t>
            </w:r>
          </w:p>
        </w:tc>
        <w:tc>
          <w:tcPr>
            <w:tcW w:type="dxa" w:w="3312"/>
          </w:tcPr>
          <w:p>
            <w:r>
              <w:t>@</w:t>
            </w:r>
          </w:p>
        </w:tc>
        <w:tc>
          <w:tcPr>
            <w:tcW w:type="dxa" w:w="3312"/>
          </w:tcPr>
          <w:p>
            <w:r>
              <w:t>185.199.110.153</w:t>
            </w:r>
          </w:p>
        </w:tc>
      </w:tr>
      <w:tr>
        <w:tc>
          <w:tcPr>
            <w:tcW w:type="dxa" w:w="3312"/>
          </w:tcPr>
          <w:p>
            <w:r>
              <w:t>A</w:t>
            </w:r>
          </w:p>
        </w:tc>
        <w:tc>
          <w:tcPr>
            <w:tcW w:type="dxa" w:w="3312"/>
          </w:tcPr>
          <w:p>
            <w:r>
              <w:t>@</w:t>
            </w:r>
          </w:p>
        </w:tc>
        <w:tc>
          <w:tcPr>
            <w:tcW w:type="dxa" w:w="3312"/>
          </w:tcPr>
          <w:p>
            <w:r>
              <w:t>185.199.111.153</w:t>
            </w:r>
          </w:p>
        </w:tc>
      </w:tr>
      <w:tr>
        <w:tc>
          <w:tcPr>
            <w:tcW w:type="dxa" w:w="3312"/>
          </w:tcPr>
          <w:p>
            <w:r>
              <w:t>CNAME</w:t>
            </w:r>
          </w:p>
        </w:tc>
        <w:tc>
          <w:tcPr>
            <w:tcW w:type="dxa" w:w="3312"/>
          </w:tcPr>
          <w:p>
            <w:r>
              <w:t>www</w:t>
            </w:r>
          </w:p>
        </w:tc>
        <w:tc>
          <w:tcPr>
            <w:tcW w:type="dxa" w:w="3312"/>
          </w:tcPr>
          <w:p>
            <w:r>
              <w:t>john-nmn-miller.github.io</w:t>
            </w:r>
          </w:p>
        </w:tc>
      </w:tr>
    </w:tbl>
    <w:p>
      <w:r>
        <w:t>Check for conflicting records for the apex (@) and www names before adding these. Preserve existing MX, SPF, DKIM, DMARC and other email-related DNS records to avoid interrupting Holiday Explorers email. Do not create a CNAME for the apex domain alongside A records.</w:t>
      </w:r>
    </w:p>
    <w:p>
      <w:pPr>
        <w:pStyle w:val="Heading2"/>
      </w:pPr>
      <w:r>
        <w:t>4. Enable HTTPS</w:t>
      </w:r>
    </w:p>
    <w:p>
      <w:r>
        <w:t>Allow time for DNS propagation and GitHub Pages certificate provisioning (potentially 24–48 hours). Return to Settings → Pages and enable Enforce HTTPS when available.</w:t>
      </w:r>
    </w:p>
    <w:p>
      <w:pPr>
        <w:pStyle w:val="Heading2"/>
      </w:pPr>
      <w:r>
        <w:t>5. Verify deployment</w:t>
      </w:r>
    </w:p>
    <w:p>
      <w:pPr>
        <w:pStyle w:val="ListBullet"/>
      </w:pPr>
      <w:r>
        <w:t>Visit https://holidayexplorers.au and confirm the website loads securely.</w:t>
      </w:r>
    </w:p>
    <w:p>
      <w:pPr>
        <w:pStyle w:val="ListBullet"/>
      </w:pPr>
      <w:r>
        <w:t>Visit https://www.holidayexplorers.au and confirm it redirects to the primary domain.</w:t>
      </w:r>
    </w:p>
    <w:p>
      <w:pPr>
        <w:pStyle w:val="ListBullet"/>
      </w:pPr>
      <w:r>
        <w:t>Check that navigation, mobile layouts, images and contact form still work.</w:t>
      </w:r>
    </w:p>
    <w:p>
      <w:pPr>
        <w:pStyle w:val="ListBullet"/>
      </w:pPr>
      <w:r>
        <w:t>Submit a test contact enquiry; confirm that the subject begins hx_website_enquiry_ and delivery reaches the mailbox associated with the Web3Forms access key (intended: board@holidayexplorers.com.au).</w:t>
      </w:r>
    </w:p>
    <w:p>
      <w:pPr>
        <w:pStyle w:val="ListBullet"/>
      </w:pPr>
      <w:r>
        <w:t>Check the GitHub repository Actions tab for deployment status if the site does not update.</w:t>
      </w:r>
    </w:p>
    <w:p>
      <w:r>
        <w:t>Existing project URL: https://john-nmn-miller.github.io/holiday-explorers/ . After successful custom-domain configuration, GitHub Pages ordinarily redirects the project URL to the configured domain.</w:t>
      </w:r>
    </w:p>
    <w:p>
      <w:pPr>
        <w:pStyle w:val="Heading1"/>
      </w:pPr>
      <w:r>
        <w:t>Website revisions 14 October 2026</w:t>
      </w:r>
    </w:p>
    <w:p>
      <w:r>
        <w:t>The current working index.html includes the revised hero image, Home introduction, Connect description and mission wording specified above. These revisions must be uploaded to the publishing repository and checked on the live website; this brief does not confirm that they have been published.</w:t>
      </w:r>
    </w:p>
    <w:p>
      <w:pPr>
        <w:pStyle w:val="Heading1"/>
      </w:pPr>
      <w:r>
        <w:t>16. Footer revision — 14 October 2026</w:t>
      </w:r>
    </w:p>
    <w:p>
      <w:r>
        <w:t>Current index.html footer: The “Get Involved” footer column has been removed. The footer Contact column now displays reception@holidayexplorers.com.au and “Postal Address: PO Box 4075, Norwood South 5067”. The existing Quick Links column remains in place.</w:t>
      </w:r>
    </w:p>
    <w:p>
      <w:r>
        <w:t>Removed footer block (retained here for future restoration):</w:t>
      </w:r>
    </w:p>
    <w:p>
      <w:pPr>
        <w:pStyle w:val="ListBullet"/>
      </w:pPr>
      <w:r>
        <w:t>Heading: Get Involved</w:t>
      </w:r>
    </w:p>
    <w:p>
      <w:pPr>
        <w:pStyle w:val="ListBullet"/>
      </w:pPr>
      <w:r>
        <w:t>Link: Join a Program → #contact</w:t>
      </w:r>
    </w:p>
    <w:p>
      <w:pPr>
        <w:pStyle w:val="ListBullet"/>
      </w:pPr>
      <w:r>
        <w:t>Link: Volunteer → #contact</w:t>
      </w:r>
    </w:p>
    <w:p>
      <w:pPr>
        <w:pStyle w:val="ListBullet"/>
      </w:pPr>
      <w:r>
        <w:t>Link: Partner With Us → #contact</w:t>
      </w:r>
    </w:p>
    <w:p>
      <w:r>
        <w:t>Restoration instructions: In index.html, find &lt;footer&gt; and its &lt;div class="footer-grid"&gt; container. Insert a new sibling &lt;div&gt; column between the Quick Links and Contact columns, with an &lt;h4&gt;Get Involved&lt;/h4&gt; heading and a &lt;ul&gt; containing the three links above. Keep the href values as #contact unless the website structure changes. Check footer spacing and responsive layout on desktop and mobile after restoring.</w:t>
      </w:r>
    </w:p>
    <w:p>
      <w:r>
        <w:t>Scope: This removal applies only to the footer column. It does not remove any Home-page Get Involved call-to-action or the Contact section. The earlier removal of the “Follow us” social-media block remains documented in Section 9.</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