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t>(Σημείωση: Ο παρακάτω πίνακας περιεχομένων δεν αποτελεί το τελικό κείμενο, διότι εκκρεμούν ορθογραφικές και συντακτικές διορθώσεις)</w:t>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t>ΠΙΝΑΚΑΣ ΠΕΡΙΕΧΟΜΕΝΩΝ</w:t>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t xml:space="preserve">ΙΗ΄ ΠΕΡΙΟΔΟΣ </w:t>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t>ΠΡΟΕΔΡΕΥΟΜΕΝΗΣ ΚΟΙΝΟΒΟΥΛΕΥΤΙΚΗΣ ΔΗΜΟΚΡΑΤΙΑΣ</w:t>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t>ΣΥΝΟΔΟΣ Α΄</w:t>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t>ΣΥΝΕΔΡΙΑΣΗ ΡΞΒ΄</w:t>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t>Τετάρτη  17 Ιουνίου 2020 (Μεσημέρι)</w:t>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t>ΘΕΜΑΤΑ</w:t>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t xml:space="preserve"> </w:t>
      </w:r>
      <w:r w:rsidRPr="00A71D26">
        <w:rPr>
          <w:rFonts w:ascii="Arial" w:eastAsia="Arial" w:hAnsi="Arial" w:cs="Arial"/>
          <w:sz w:val="24"/>
          <w:szCs w:val="24"/>
          <w:lang w:eastAsia="el-GR"/>
        </w:rPr>
        <w:br/>
        <w:t xml:space="preserve">Α. ΕΙΔΙΚΑ ΘΕΜΑΤΑ </w:t>
      </w:r>
      <w:r w:rsidRPr="00A71D26">
        <w:rPr>
          <w:rFonts w:ascii="Arial" w:eastAsia="Arial" w:hAnsi="Arial" w:cs="Arial"/>
          <w:sz w:val="24"/>
          <w:szCs w:val="24"/>
          <w:lang w:eastAsia="el-GR"/>
        </w:rPr>
        <w:br/>
        <w:t xml:space="preserve">1. Ειδική Ημερήσια Διάταξη: </w:t>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Ανδρέα Πάτση και Μιλτιάδη Χατζηγιαννάκη, σελ. </w:t>
      </w:r>
      <w:r w:rsidRPr="00A71D26">
        <w:rPr>
          <w:rFonts w:ascii="Arial" w:eastAsia="Arial" w:hAnsi="Arial" w:cs="Arial"/>
          <w:sz w:val="24"/>
          <w:szCs w:val="24"/>
          <w:lang w:eastAsia="el-GR"/>
        </w:rPr>
        <w:br/>
        <w:t xml:space="preserve">2. Ηλεκτρονική ονομαστική ψηφοφορία επί των αιτήσεων άρσης ασυλίας, σελ. </w:t>
      </w:r>
      <w:r w:rsidRPr="00A71D26">
        <w:rPr>
          <w:rFonts w:ascii="Arial" w:eastAsia="Arial" w:hAnsi="Arial" w:cs="Arial"/>
          <w:sz w:val="24"/>
          <w:szCs w:val="24"/>
          <w:lang w:eastAsia="el-GR"/>
        </w:rPr>
        <w:br/>
        <w:t xml:space="preserve">3. Επί διαδικαστικού θέματος, σελ. </w:t>
      </w:r>
      <w:r w:rsidRPr="00A71D26">
        <w:rPr>
          <w:rFonts w:ascii="Arial" w:eastAsia="Arial" w:hAnsi="Arial" w:cs="Arial"/>
          <w:sz w:val="24"/>
          <w:szCs w:val="24"/>
          <w:lang w:eastAsia="el-GR"/>
        </w:rPr>
        <w:br/>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t>ΠΡΟΕΔΡΕΥΩΝ</w:t>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t>ΑΘΑΝΑΣΙΟΥ Χ. , σελ.</w:t>
      </w:r>
      <w:r w:rsidRPr="00A71D26">
        <w:rPr>
          <w:rFonts w:ascii="Arial" w:eastAsia="Arial" w:hAnsi="Arial" w:cs="Arial"/>
          <w:sz w:val="24"/>
          <w:szCs w:val="24"/>
          <w:lang w:eastAsia="el-GR"/>
        </w:rPr>
        <w:br/>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t>ΟΜΙΛΗΤΕΣ</w:t>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r w:rsidRPr="00A71D26">
        <w:rPr>
          <w:rFonts w:ascii="Arial" w:eastAsia="Arial" w:hAnsi="Arial" w:cs="Arial"/>
          <w:sz w:val="24"/>
          <w:szCs w:val="24"/>
          <w:lang w:eastAsia="el-GR"/>
        </w:rPr>
        <w:br/>
        <w:t>Α. Επί διαδικαστικού θέματος:</w:t>
      </w:r>
      <w:r w:rsidRPr="00A71D26">
        <w:rPr>
          <w:rFonts w:ascii="Arial" w:eastAsia="Arial" w:hAnsi="Arial" w:cs="Arial"/>
          <w:sz w:val="24"/>
          <w:szCs w:val="24"/>
          <w:lang w:eastAsia="el-GR"/>
        </w:rPr>
        <w:br/>
        <w:t>ΑΘΑΝΑΣΙΟΥ Χ. , σελ.</w:t>
      </w:r>
      <w:r w:rsidRPr="00A71D26">
        <w:rPr>
          <w:rFonts w:ascii="Arial" w:eastAsia="Arial" w:hAnsi="Arial" w:cs="Arial"/>
          <w:sz w:val="24"/>
          <w:szCs w:val="24"/>
          <w:lang w:eastAsia="el-GR"/>
        </w:rPr>
        <w:br/>
        <w:t>ΧΑΤΖΗΓΙΑΝΝΑΚΗΣ Μ. , σελ.</w:t>
      </w:r>
      <w:r w:rsidRPr="00A71D26">
        <w:rPr>
          <w:rFonts w:ascii="Arial" w:eastAsia="Arial" w:hAnsi="Arial" w:cs="Arial"/>
          <w:sz w:val="24"/>
          <w:szCs w:val="24"/>
          <w:lang w:eastAsia="el-GR"/>
        </w:rPr>
        <w:br/>
      </w: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p>
    <w:p w:rsidR="00A71D26" w:rsidRPr="00A71D26" w:rsidRDefault="00A71D26" w:rsidP="00A71D26">
      <w:pPr>
        <w:spacing w:afterLines="0" w:after="0" w:line="360" w:lineRule="auto"/>
        <w:ind w:firstLine="0"/>
        <w:jc w:val="left"/>
        <w:rPr>
          <w:rFonts w:ascii="Arial" w:eastAsia="Arial" w:hAnsi="Arial" w:cs="Arial"/>
          <w:sz w:val="24"/>
          <w:szCs w:val="24"/>
          <w:lang w:eastAsia="el-GR"/>
        </w:rPr>
      </w:pPr>
    </w:p>
    <w:p w:rsidR="00A71D26" w:rsidRPr="00A71D26" w:rsidRDefault="00A71D26" w:rsidP="00A71D26">
      <w:pPr>
        <w:spacing w:afterLines="0"/>
        <w:ind w:firstLine="0"/>
        <w:jc w:val="center"/>
        <w:rPr>
          <w:rFonts w:ascii="Arial" w:eastAsia="Times New Roman" w:hAnsi="Arial" w:cs="Arial"/>
          <w:sz w:val="24"/>
          <w:szCs w:val="24"/>
          <w:lang w:eastAsia="el-GR"/>
        </w:rPr>
      </w:pPr>
      <w:r w:rsidRPr="00A71D26">
        <w:rPr>
          <w:rFonts w:ascii="Arial" w:eastAsia="Times New Roman" w:hAnsi="Arial" w:cs="Arial"/>
          <w:sz w:val="24"/>
          <w:szCs w:val="24"/>
          <w:lang w:eastAsia="el-GR"/>
        </w:rPr>
        <w:lastRenderedPageBreak/>
        <w:t>ΠΡΑΚΤΙΚΑ ΒΟΥΛΗΣ</w:t>
      </w:r>
    </w:p>
    <w:p w:rsidR="00A71D26" w:rsidRPr="00A71D26" w:rsidRDefault="00A71D26" w:rsidP="00A71D26">
      <w:pPr>
        <w:spacing w:afterLines="0"/>
        <w:ind w:firstLine="0"/>
        <w:jc w:val="center"/>
        <w:rPr>
          <w:rFonts w:ascii="Arial" w:eastAsia="Times New Roman" w:hAnsi="Arial" w:cs="Arial"/>
          <w:sz w:val="24"/>
          <w:szCs w:val="24"/>
          <w:lang w:eastAsia="el-GR"/>
        </w:rPr>
      </w:pPr>
      <w:r w:rsidRPr="00A71D26">
        <w:rPr>
          <w:rFonts w:ascii="Arial" w:eastAsia="Times New Roman" w:hAnsi="Arial" w:cs="Arial"/>
          <w:sz w:val="24"/>
          <w:szCs w:val="24"/>
          <w:lang w:eastAsia="el-GR"/>
        </w:rPr>
        <w:t>Θ΄ ΑΝΑΘΕΩΡΗΤΙΚΗ ΒΟΥΛΗ</w:t>
      </w:r>
    </w:p>
    <w:p w:rsidR="00A71D26" w:rsidRPr="00A71D26" w:rsidRDefault="00A71D26" w:rsidP="00A71D26">
      <w:pPr>
        <w:spacing w:afterLines="0"/>
        <w:ind w:firstLine="0"/>
        <w:jc w:val="center"/>
        <w:rPr>
          <w:rFonts w:ascii="Arial" w:eastAsia="Times New Roman" w:hAnsi="Arial" w:cs="Arial"/>
          <w:sz w:val="24"/>
          <w:szCs w:val="24"/>
          <w:lang w:eastAsia="el-GR"/>
        </w:rPr>
      </w:pPr>
      <w:r w:rsidRPr="00A71D26">
        <w:rPr>
          <w:rFonts w:ascii="Arial" w:eastAsia="Times New Roman" w:hAnsi="Arial" w:cs="Arial"/>
          <w:sz w:val="24"/>
          <w:szCs w:val="24"/>
          <w:lang w:eastAsia="el-GR"/>
        </w:rPr>
        <w:t>ΙΗ΄ ΠΕΡΙΟΔΟΣ</w:t>
      </w:r>
    </w:p>
    <w:p w:rsidR="00A71D26" w:rsidRPr="00A71D26" w:rsidRDefault="00A71D26" w:rsidP="00A71D26">
      <w:pPr>
        <w:spacing w:afterLines="0"/>
        <w:ind w:firstLine="0"/>
        <w:jc w:val="center"/>
        <w:rPr>
          <w:rFonts w:ascii="Arial" w:eastAsia="Times New Roman" w:hAnsi="Arial" w:cs="Arial"/>
          <w:sz w:val="24"/>
          <w:szCs w:val="24"/>
          <w:lang w:eastAsia="el-GR"/>
        </w:rPr>
      </w:pPr>
      <w:r w:rsidRPr="00A71D26">
        <w:rPr>
          <w:rFonts w:ascii="Arial" w:eastAsia="Times New Roman" w:hAnsi="Arial" w:cs="Arial"/>
          <w:sz w:val="24"/>
          <w:szCs w:val="24"/>
          <w:lang w:eastAsia="el-GR"/>
        </w:rPr>
        <w:t>ΠΡΟΕΔΡΕΥΟΜΕΝΗΣ ΚΟΙΝΟΒΟΥΛΕΥΤΙΚΗΣ ΔΗΜΟΚΡΑΤΙΑΣ</w:t>
      </w:r>
    </w:p>
    <w:p w:rsidR="00A71D26" w:rsidRPr="00A71D26" w:rsidRDefault="00A71D26" w:rsidP="00A71D26">
      <w:pPr>
        <w:spacing w:afterLines="0"/>
        <w:ind w:firstLine="0"/>
        <w:jc w:val="center"/>
        <w:rPr>
          <w:rFonts w:ascii="Arial" w:eastAsia="Times New Roman" w:hAnsi="Arial" w:cs="Arial"/>
          <w:sz w:val="24"/>
          <w:szCs w:val="24"/>
          <w:lang w:eastAsia="el-GR"/>
        </w:rPr>
      </w:pPr>
      <w:r w:rsidRPr="00A71D26">
        <w:rPr>
          <w:rFonts w:ascii="Arial" w:eastAsia="Times New Roman" w:hAnsi="Arial" w:cs="Arial"/>
          <w:sz w:val="24"/>
          <w:szCs w:val="24"/>
          <w:lang w:eastAsia="el-GR"/>
        </w:rPr>
        <w:t>ΣΥΝΟΔΟΣ Α΄</w:t>
      </w:r>
    </w:p>
    <w:p w:rsidR="00A71D26" w:rsidRPr="00A71D26" w:rsidRDefault="00A71D26" w:rsidP="00A71D26">
      <w:pPr>
        <w:spacing w:afterLines="0"/>
        <w:ind w:firstLine="0"/>
        <w:jc w:val="center"/>
        <w:rPr>
          <w:rFonts w:ascii="Arial" w:eastAsia="Times New Roman" w:hAnsi="Arial" w:cs="Arial"/>
          <w:sz w:val="24"/>
          <w:szCs w:val="24"/>
          <w:lang w:eastAsia="el-GR"/>
        </w:rPr>
      </w:pPr>
      <w:r w:rsidRPr="00A71D26">
        <w:rPr>
          <w:rFonts w:ascii="Arial" w:eastAsia="Times New Roman" w:hAnsi="Arial" w:cs="Arial"/>
          <w:sz w:val="24"/>
          <w:szCs w:val="24"/>
          <w:lang w:eastAsia="el-GR"/>
        </w:rPr>
        <w:t>ΣΥΝΕΔΡΙΑΣΗ ΡΞΒ΄</w:t>
      </w:r>
    </w:p>
    <w:p w:rsidR="00A71D26" w:rsidRPr="00A71D26" w:rsidRDefault="00A71D26" w:rsidP="00A71D26">
      <w:pPr>
        <w:spacing w:afterLines="0"/>
        <w:ind w:firstLine="0"/>
        <w:jc w:val="center"/>
        <w:rPr>
          <w:rFonts w:ascii="Arial" w:eastAsia="Times New Roman" w:hAnsi="Arial" w:cs="Arial"/>
          <w:sz w:val="24"/>
          <w:szCs w:val="24"/>
          <w:lang w:eastAsia="el-GR"/>
        </w:rPr>
      </w:pPr>
      <w:r w:rsidRPr="00A71D26">
        <w:rPr>
          <w:rFonts w:ascii="Arial" w:eastAsia="Times New Roman" w:hAnsi="Arial" w:cs="Arial"/>
          <w:sz w:val="24"/>
          <w:szCs w:val="24"/>
          <w:lang w:eastAsia="el-GR"/>
        </w:rPr>
        <w:t>Τετάρτη 17 Ιουνίου 2020 (μεσημέρι)</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sz w:val="24"/>
          <w:szCs w:val="24"/>
          <w:lang w:eastAsia="el-GR"/>
        </w:rPr>
        <w:t xml:space="preserve">Αθήνα, σήμερα στις 17 Ιουνίου 2020, ημέρα Τετάρτη και ώρα 12.12΄ συνήλθε στην Αίθουσα των συνεδριάσεων του Βουλευτηρίου η Βουλή σε ολομέλεια για να συνεδριάσει υπό την προεδρία του Β΄ Αντιπροέδρου αυτής κ. </w:t>
      </w:r>
      <w:r w:rsidRPr="00A71D26">
        <w:rPr>
          <w:rFonts w:ascii="Arial" w:eastAsia="Times New Roman" w:hAnsi="Arial" w:cs="Arial"/>
          <w:b/>
          <w:sz w:val="24"/>
          <w:szCs w:val="24"/>
          <w:lang w:eastAsia="el-GR"/>
        </w:rPr>
        <w:t>ΧΑΡΑΛΑΜΠΟΥ ΑΘΑΝΑΣΙΟΥ</w:t>
      </w:r>
      <w:r w:rsidRPr="00A71D26">
        <w:rPr>
          <w:rFonts w:ascii="Arial" w:eastAsia="Times New Roman" w:hAnsi="Arial" w:cs="Arial"/>
          <w:sz w:val="24"/>
          <w:szCs w:val="24"/>
          <w:lang w:eastAsia="el-GR"/>
        </w:rPr>
        <w:t>.</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b/>
          <w:sz w:val="24"/>
          <w:szCs w:val="24"/>
          <w:lang w:eastAsia="el-GR"/>
        </w:rPr>
        <w:t>ΠΡΟΕΔΡΕΥΩΝ (Χαράλαμπος Αθανασίου):</w:t>
      </w:r>
      <w:r w:rsidRPr="00A71D26">
        <w:rPr>
          <w:rFonts w:ascii="Arial" w:eastAsia="Times New Roman" w:hAnsi="Arial" w:cs="Arial"/>
          <w:sz w:val="24"/>
          <w:szCs w:val="24"/>
          <w:lang w:eastAsia="el-GR"/>
        </w:rPr>
        <w:t xml:space="preserve"> Κυρίες και κύριοι συνάδελφοι, αρχίζει η συνεδρίαση.</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sz w:val="24"/>
          <w:szCs w:val="24"/>
          <w:lang w:eastAsia="el-GR"/>
        </w:rPr>
        <w:t xml:space="preserve">Εισερχόμεθα στην </w:t>
      </w:r>
    </w:p>
    <w:p w:rsidR="00A71D26" w:rsidRPr="00A71D26" w:rsidRDefault="00A71D26" w:rsidP="00A71D26">
      <w:pPr>
        <w:spacing w:afterLines="0"/>
        <w:ind w:firstLine="720"/>
        <w:jc w:val="center"/>
        <w:rPr>
          <w:rFonts w:ascii="Arial" w:eastAsia="Times New Roman" w:hAnsi="Arial" w:cs="Arial"/>
          <w:b/>
          <w:sz w:val="24"/>
          <w:szCs w:val="24"/>
          <w:lang w:eastAsia="el-GR"/>
        </w:rPr>
      </w:pPr>
      <w:r w:rsidRPr="00A71D26">
        <w:rPr>
          <w:rFonts w:ascii="Arial" w:eastAsia="Times New Roman" w:hAnsi="Arial" w:cs="Arial"/>
          <w:b/>
          <w:sz w:val="24"/>
          <w:szCs w:val="24"/>
          <w:lang w:eastAsia="el-GR"/>
        </w:rPr>
        <w:t>ΕΙΔΙΚΗ ΗΜΕΡΗΣΙΑ ΔΙΑΤΑΞΗ</w:t>
      </w:r>
    </w:p>
    <w:p w:rsidR="00A71D26" w:rsidRPr="00A71D26" w:rsidRDefault="00A71D26" w:rsidP="00A71D26">
      <w:pPr>
        <w:spacing w:afterLines="0"/>
        <w:ind w:firstLine="720"/>
        <w:rPr>
          <w:rFonts w:ascii="Arial" w:eastAsia="Times New Roman" w:hAnsi="Arial" w:cs="Arial"/>
          <w:color w:val="000000"/>
          <w:sz w:val="24"/>
          <w:szCs w:val="24"/>
          <w:lang w:eastAsia="el-GR"/>
        </w:rPr>
      </w:pPr>
      <w:r w:rsidRPr="00A71D26">
        <w:rPr>
          <w:rFonts w:ascii="Arial" w:eastAsia="Times New Roman" w:hAnsi="Arial" w:cs="Arial"/>
          <w:b/>
          <w:sz w:val="24"/>
          <w:szCs w:val="24"/>
          <w:lang w:eastAsia="el-GR"/>
        </w:rPr>
        <w:tab/>
      </w:r>
      <w:r w:rsidRPr="00A71D26">
        <w:rPr>
          <w:rFonts w:ascii="Arial" w:eastAsia="Times New Roman" w:hAnsi="Arial" w:cs="Arial"/>
          <w:sz w:val="24"/>
          <w:szCs w:val="24"/>
          <w:lang w:eastAsia="el-GR"/>
        </w:rPr>
        <w:t>Αιτήσεις άρσης ασυλίας Βουλευτών: συζήτηση</w:t>
      </w:r>
      <w:r w:rsidRPr="00A71D26">
        <w:rPr>
          <w:rFonts w:ascii="Arial" w:eastAsia="Times New Roman" w:hAnsi="Arial" w:cs="Arial"/>
          <w:color w:val="000000"/>
          <w:sz w:val="24"/>
          <w:szCs w:val="24"/>
          <w:lang w:eastAsia="el-GR"/>
        </w:rPr>
        <w:t xml:space="preserve"> και λήψη απόφασης, σύμφωνα με το άρθρο 62 του Συντάγματος και τα άρθρα 43Α και </w:t>
      </w:r>
      <w:r w:rsidRPr="00A71D26">
        <w:rPr>
          <w:rFonts w:ascii="Arial" w:eastAsia="Times New Roman" w:hAnsi="Arial" w:cs="Arial"/>
          <w:color w:val="000000"/>
          <w:sz w:val="24"/>
          <w:szCs w:val="24"/>
          <w:lang w:eastAsia="el-GR"/>
        </w:rPr>
        <w:lastRenderedPageBreak/>
        <w:t>83 του Κανονισμού της Βουλής, για τις αιτήσεις άρσης της ασυλίας των Βουλευτών κυρίων Ανδρέα Πάτση και Μιλτιάδη Χατζηγιαννάκη.</w:t>
      </w:r>
    </w:p>
    <w:p w:rsidR="00A71D26" w:rsidRPr="00A71D26" w:rsidRDefault="00A71D26" w:rsidP="00A71D26">
      <w:pPr>
        <w:spacing w:afterLines="0"/>
        <w:ind w:firstLine="720"/>
        <w:rPr>
          <w:rFonts w:ascii="Arial" w:eastAsia="Times New Roman" w:hAnsi="Arial" w:cs="Arial"/>
          <w:color w:val="000000"/>
          <w:sz w:val="24"/>
          <w:szCs w:val="24"/>
          <w:lang w:eastAsia="el-GR"/>
        </w:rPr>
      </w:pPr>
      <w:r w:rsidRPr="00A71D26">
        <w:rPr>
          <w:rFonts w:ascii="Arial" w:eastAsia="Times New Roman" w:hAnsi="Arial" w:cs="Arial"/>
          <w:color w:val="000000"/>
          <w:sz w:val="24"/>
          <w:szCs w:val="24"/>
          <w:lang w:eastAsia="el-GR"/>
        </w:rPr>
        <w:t>Από την αρμόδια Ειδική Μόνιμη Επιτροπή Κοινοβουλευτικής Δεοντολογίας ανακοινώθηκε η έκθεση της 3</w:t>
      </w:r>
      <w:r w:rsidRPr="00A71D26">
        <w:rPr>
          <w:rFonts w:ascii="Arial" w:eastAsia="Times New Roman" w:hAnsi="Arial" w:cs="Arial"/>
          <w:color w:val="000000"/>
          <w:sz w:val="24"/>
          <w:szCs w:val="24"/>
          <w:vertAlign w:val="superscript"/>
          <w:lang w:eastAsia="el-GR"/>
        </w:rPr>
        <w:t>ης</w:t>
      </w:r>
      <w:r w:rsidRPr="00A71D26">
        <w:rPr>
          <w:rFonts w:ascii="Arial" w:eastAsia="Times New Roman" w:hAnsi="Arial" w:cs="Arial"/>
          <w:color w:val="000000"/>
          <w:sz w:val="24"/>
          <w:szCs w:val="24"/>
          <w:lang w:eastAsia="el-GR"/>
        </w:rPr>
        <w:t xml:space="preserve"> Ιουνίου 2020, σύμφωνα με την οποία τα μέλη της επιτροπής πρότειναν ομόφωνα την άρση ασυλίας του κ. Ανδρέα Πάτση.</w:t>
      </w:r>
    </w:p>
    <w:p w:rsidR="00A71D26" w:rsidRPr="00A71D26" w:rsidRDefault="00A71D26" w:rsidP="00A71D26">
      <w:pPr>
        <w:spacing w:afterLines="0"/>
        <w:ind w:firstLine="720"/>
        <w:rPr>
          <w:rFonts w:ascii="Arial" w:eastAsia="Times New Roman" w:hAnsi="Arial" w:cs="Arial"/>
          <w:color w:val="000000"/>
          <w:sz w:val="24"/>
          <w:szCs w:val="24"/>
          <w:lang w:eastAsia="el-GR"/>
        </w:rPr>
      </w:pPr>
      <w:r w:rsidRPr="00A71D26">
        <w:rPr>
          <w:rFonts w:ascii="Arial" w:eastAsia="Times New Roman" w:hAnsi="Arial" w:cs="Arial"/>
          <w:color w:val="000000"/>
          <w:sz w:val="24"/>
          <w:szCs w:val="24"/>
          <w:lang w:eastAsia="el-GR"/>
        </w:rPr>
        <w:t>Επίσης, από την ίδια επιτροπή, ανακοινώθηκε η έκθεση της 3</w:t>
      </w:r>
      <w:r w:rsidRPr="00A71D26">
        <w:rPr>
          <w:rFonts w:ascii="Arial" w:eastAsia="Times New Roman" w:hAnsi="Arial" w:cs="Arial"/>
          <w:color w:val="000000"/>
          <w:sz w:val="24"/>
          <w:szCs w:val="24"/>
          <w:vertAlign w:val="superscript"/>
          <w:lang w:eastAsia="el-GR"/>
        </w:rPr>
        <w:t>ης</w:t>
      </w:r>
      <w:r w:rsidRPr="00A71D26">
        <w:rPr>
          <w:rFonts w:ascii="Arial" w:eastAsia="Times New Roman" w:hAnsi="Arial" w:cs="Arial"/>
          <w:color w:val="000000"/>
          <w:sz w:val="24"/>
          <w:szCs w:val="24"/>
          <w:lang w:eastAsia="el-GR"/>
        </w:rPr>
        <w:t xml:space="preserve"> Ιουνίου 2020, σύμφωνα με την οποία, τα μέλη της επιτροπής πρότειναν ομόφωνα την άρση ασυλίας του κ. Μιλτιάδη Χατζηγιαννάκη. </w:t>
      </w:r>
    </w:p>
    <w:p w:rsidR="00A71D26" w:rsidRPr="00A71D26" w:rsidRDefault="00A71D26" w:rsidP="00A71D26">
      <w:pPr>
        <w:spacing w:afterLines="0"/>
        <w:ind w:firstLine="720"/>
        <w:rPr>
          <w:rFonts w:ascii="Arial" w:eastAsia="Times New Roman" w:hAnsi="Arial" w:cs="Arial"/>
          <w:color w:val="000000"/>
          <w:sz w:val="24"/>
          <w:szCs w:val="24"/>
          <w:lang w:eastAsia="el-GR"/>
        </w:rPr>
      </w:pPr>
      <w:r w:rsidRPr="00A71D26">
        <w:rPr>
          <w:rFonts w:ascii="Arial" w:eastAsia="Times New Roman" w:hAnsi="Arial" w:cs="Arial"/>
          <w:color w:val="000000"/>
          <w:sz w:val="24"/>
          <w:szCs w:val="24"/>
          <w:lang w:eastAsia="el-GR"/>
        </w:rPr>
        <w:t xml:space="preserve">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δεύτερο. Ο λόγος δίνεται πάντα, εφόσον ζητηθεί, στον Βουλευτή στον οποίο αφορά η αίτηση και στους Προέδρους των Κοινοβουλευτικών Ομάδων ή στους αναπληρωτές τους. </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color w:val="000000"/>
          <w:sz w:val="24"/>
          <w:szCs w:val="24"/>
          <w:lang w:eastAsia="el-GR"/>
        </w:rPr>
        <w:t xml:space="preserve">Θα υπενθυμίσω ότι, σύμφωνα με την απόφαση της Διάσκεψης των Προέδρων στις 7 Μαρτίου 2018, για τη διαδικασία αυτή έχει ενεργοποιηθεί το νέο σύστημα ηλεκτρονικής ονομαστικής ψηφοφορίας. </w:t>
      </w:r>
      <w:r w:rsidRPr="00A71D26">
        <w:rPr>
          <w:rFonts w:ascii="Arial" w:eastAsia="Times New Roman" w:hAnsi="Arial" w:cs="Arial"/>
          <w:sz w:val="24"/>
          <w:szCs w:val="24"/>
          <w:lang w:eastAsia="el-GR"/>
        </w:rPr>
        <w:t xml:space="preserve">Αφού, λοιπόν, ολοκληρωθεί η συζήτηση επί των περιπτώσεων της σημερινής ειδικής </w:t>
      </w:r>
      <w:r w:rsidRPr="00A71D26">
        <w:rPr>
          <w:rFonts w:ascii="Arial" w:eastAsia="Times New Roman" w:hAnsi="Arial" w:cs="Arial"/>
          <w:sz w:val="24"/>
          <w:szCs w:val="24"/>
          <w:lang w:eastAsia="el-GR"/>
        </w:rPr>
        <w:lastRenderedPageBreak/>
        <w:t xml:space="preserve">ημερήσιας διάταξης, θα προχωρήσουμε σε ονομαστική ηλεκτρονική ψηφοφορία, όπως σας προανέφερα. </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sz w:val="24"/>
          <w:szCs w:val="24"/>
          <w:lang w:eastAsia="el-GR"/>
        </w:rPr>
        <w:t>Η πρώτη υπόθεση αφορά τον συνάδελφο κ. Ανδρέα Πάτση. Για ενημέρωση σάς λέω ότι η υπόθεση αυτή αφορά πράξεις που τελέστηκαν πριν την εκλογή του ως Βουλευτή. Το ίδιο ισχύει και για την επόμενη υπόθεση, που αφορά τον κ. Χατζηγιαννάκη. Είναι για πράξεις, λοιπόν που τελέστηκαν πριν εκλεγούν Βουλευτές, συνεπώς δεν έγιναν κατά την άσκηση των καθηκόντων τους και συνεπώς σύμφωνα και με την αναθεώρηση της σχετικής συνταγματικής διάταξης, εφόσον δεν συντρέχει λόγος απ’ αυτούς που αναφέρονται στο άρθρο 83 του Κανονισμού, πρέπει να αρθεί η ασυλία τους. Και οι δύο Βουλευτές ζήτησαν την άρση της ασυλίας τους. Η πρόταση είναι από την επιτροπή, ομόφωνα να αρθούν οι ασυλίες. Από εκεί και πέρα, ο καθένας ψηφίζει αυτό που νομίζει.</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sz w:val="24"/>
          <w:szCs w:val="24"/>
          <w:lang w:eastAsia="el-GR"/>
        </w:rPr>
        <w:t xml:space="preserve">Όσον αφορά την υπόθεση του κ. Ανδρέα Πάτση, αφορά φορολογικές παραβάσεις οι οποίες, όπως είπε, έχουν ρυθμιστεί. </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sz w:val="24"/>
          <w:szCs w:val="24"/>
          <w:lang w:eastAsia="el-GR"/>
        </w:rPr>
        <w:t xml:space="preserve">Όσον αφορά την υπόθεση του κ. Μιλτιάδη Χατζηγιαννάκη, όταν ο συνάδελφος ήταν δήμαρχος στον Δήμο Χαλκιδέων φέρεται ότι δεν ελήφθησαν μέτρα ασφάλειας σε παιδική χαρά. Δεν επήλθε τραυματισμός, δεν επήλθε καμμία σωματική βλάβη. Απλώς, είναι τυπικό το αδίκημα. Βεβαίως, εδώ να σας πω ότι αυτό το θέμα είναι στην ευθύνη του αρμόδιου αντιδημάρχου. Έχουν </w:t>
      </w:r>
      <w:r w:rsidRPr="00A71D26">
        <w:rPr>
          <w:rFonts w:ascii="Arial" w:eastAsia="Times New Roman" w:hAnsi="Arial" w:cs="Arial"/>
          <w:sz w:val="24"/>
          <w:szCs w:val="24"/>
          <w:lang w:eastAsia="el-GR"/>
        </w:rPr>
        <w:lastRenderedPageBreak/>
        <w:t>απαλλαγεί, συνεπώς ελπίζουμε ότι και το δικαστήριο θα πάει προς αυτήν την κατεύθυνση.</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sz w:val="24"/>
          <w:szCs w:val="24"/>
          <w:lang w:eastAsia="el-GR"/>
        </w:rPr>
        <w:t>Ο κ. Πάτσης έχει κώλυμα και είπε ότι δεν θα παραστεί. Δεν ξέρω αν ήλθε εν τω μεταξύ. Μεταφέρω τη θέση του και στην Ολομέλεια ότι ζητάει να αρθεί η ασυλία του.</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sz w:val="24"/>
          <w:szCs w:val="24"/>
          <w:lang w:eastAsia="el-GR"/>
        </w:rPr>
        <w:t xml:space="preserve">Υπάρχει κάποιος συνάδελφος που επιθυμεί να πάρει τον λόγο για την υπόθεση αυτή; </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sz w:val="24"/>
          <w:szCs w:val="24"/>
          <w:lang w:eastAsia="el-GR"/>
        </w:rPr>
        <w:t>Δεν υπάρχει κάποιος συνάδελφος.</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sz w:val="24"/>
          <w:szCs w:val="24"/>
          <w:lang w:eastAsia="el-GR"/>
        </w:rPr>
        <w:t>Συνεπώς προχωράμε στη δεύτερη υπόθεση. Σας ανέφερα ποια είναι η υπόθεση που αφορά τον κ. Χατζηγιαννάκη. Μια αρμοδιότητα μονομελούς είναι.</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sz w:val="24"/>
          <w:szCs w:val="24"/>
          <w:lang w:eastAsia="el-GR"/>
        </w:rPr>
        <w:t>Κύριε Χατζηγιαννάκη, θέλετε να πάρετε τον λόγο;</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b/>
          <w:sz w:val="24"/>
          <w:szCs w:val="24"/>
          <w:lang w:eastAsia="el-GR"/>
        </w:rPr>
        <w:t>ΜΙΛΤΙΑΔΗΣ ΧΑΤΖΗΓΙΑΝΝΑΚΗΣ:</w:t>
      </w:r>
      <w:r w:rsidRPr="00A71D26">
        <w:rPr>
          <w:rFonts w:ascii="Arial" w:eastAsia="Times New Roman" w:hAnsi="Arial" w:cs="Arial"/>
          <w:sz w:val="24"/>
          <w:szCs w:val="24"/>
          <w:lang w:eastAsia="el-GR"/>
        </w:rPr>
        <w:t xml:space="preserve"> Όχι, κύριε Πρόεδρε. Ισχύει αυτό που είπα στην επιτροπή. Είμαι υπέρ της άρσης της ασυλίας μου.</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b/>
          <w:sz w:val="24"/>
          <w:szCs w:val="24"/>
          <w:lang w:eastAsia="el-GR"/>
        </w:rPr>
        <w:t>ΠΡΟΕΔΡΕΥΩΝ (Χαράλαμπος Αθανασίου):</w:t>
      </w:r>
      <w:r w:rsidRPr="00A71D26">
        <w:rPr>
          <w:rFonts w:ascii="Arial" w:eastAsia="Times New Roman" w:hAnsi="Arial" w:cs="Arial"/>
          <w:sz w:val="24"/>
          <w:szCs w:val="24"/>
          <w:lang w:eastAsia="el-GR"/>
        </w:rPr>
        <w:t xml:space="preserve"> Κυρίες και κύριοι συνάδελφοι, η ψηφοφορία περιλαμβάνει και τις δύο υποθέσεις άρσης ασυλίας, όπως ανέφερα. Κάθε φορά που εμφανίζεται στην οθόνη μία υπόθεση προς ψήφιση, για να εμφανιστεί η επόμενη ή η προηγούμενη, πρέπει να πατήσετε το βέλος στο επάνω δεξί ή αριστερό μέρος της οθόνης, αντίστοιχα. Βεβαιωθείτε ότι έχετε ψηφίσει και για τις δύο υποθέσεις άρσης ασυλίας. Αφού καταχωρήσετε </w:t>
      </w:r>
      <w:r w:rsidRPr="00A71D26">
        <w:rPr>
          <w:rFonts w:ascii="Arial" w:eastAsia="Times New Roman" w:hAnsi="Arial" w:cs="Arial"/>
          <w:sz w:val="24"/>
          <w:szCs w:val="24"/>
          <w:lang w:eastAsia="el-GR"/>
        </w:rPr>
        <w:lastRenderedPageBreak/>
        <w:t xml:space="preserve">την ψήφο σας, έχετε τη δυνατότητα να την ελέγξετε ή και να την αναθεωρήσετε έως τη λήξη της ψηφοφορίας. </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sz w:val="24"/>
          <w:szCs w:val="24"/>
          <w:lang w:eastAsia="el-GR"/>
        </w:rPr>
        <w:t xml:space="preserve">Για οποιαδήποτε απορία, μπορείτε να απευθυνθείτε στο Προεδρείο ή και στους αρμόδιους υπαλλήλους της Βουλής, για να σας διευκολύνουν στο έργο σας. </w:t>
      </w:r>
    </w:p>
    <w:p w:rsidR="00A71D26" w:rsidRPr="00A71D26" w:rsidRDefault="00A71D26" w:rsidP="00A71D26">
      <w:pPr>
        <w:spacing w:afterLines="0"/>
        <w:ind w:firstLine="720"/>
        <w:rPr>
          <w:rFonts w:ascii="Arial" w:eastAsia="Times New Roman" w:hAnsi="Arial" w:cs="Arial"/>
          <w:sz w:val="24"/>
          <w:szCs w:val="24"/>
          <w:lang w:eastAsia="el-GR"/>
        </w:rPr>
      </w:pPr>
      <w:r w:rsidRPr="00A71D26">
        <w:rPr>
          <w:rFonts w:ascii="Arial" w:eastAsia="Times New Roman" w:hAnsi="Arial" w:cs="Arial"/>
          <w:sz w:val="24"/>
          <w:szCs w:val="24"/>
          <w:lang w:eastAsia="el-GR"/>
        </w:rPr>
        <w:t xml:space="preserve">Παρακαλώ να ανοίξει το σύστημα ηλεκτρονικής ψηφοφορίας. </w:t>
      </w:r>
    </w:p>
    <w:p w:rsidR="00A71D26" w:rsidRPr="00A71D26" w:rsidRDefault="00A71D26" w:rsidP="00A71D26">
      <w:pPr>
        <w:spacing w:afterLines="0"/>
        <w:ind w:firstLine="720"/>
        <w:jc w:val="center"/>
        <w:rPr>
          <w:rFonts w:ascii="Arial" w:eastAsia="Times New Roman" w:hAnsi="Arial" w:cs="Arial"/>
          <w:sz w:val="24"/>
          <w:szCs w:val="24"/>
          <w:lang w:eastAsia="el-GR"/>
        </w:rPr>
      </w:pPr>
      <w:r w:rsidRPr="00A71D26">
        <w:rPr>
          <w:rFonts w:ascii="Arial" w:eastAsia="Times New Roman" w:hAnsi="Arial" w:cs="Arial"/>
          <w:sz w:val="24"/>
          <w:szCs w:val="24"/>
          <w:lang w:eastAsia="el-GR"/>
        </w:rPr>
        <w:t>(ΨΗΦΟΦΟΡΙΑ)</w:t>
      </w:r>
    </w:p>
    <w:p w:rsidR="00A71D26" w:rsidRPr="00A71D26" w:rsidRDefault="00A71D26" w:rsidP="00A71D26">
      <w:pPr>
        <w:spacing w:afterLines="0"/>
        <w:ind w:firstLine="720"/>
        <w:rPr>
          <w:rFonts w:ascii="Arial" w:eastAsia="Times New Roman" w:hAnsi="Arial" w:cs="Times New Roman"/>
          <w:sz w:val="24"/>
          <w:szCs w:val="24"/>
          <w:lang w:eastAsia="el-GR"/>
        </w:rPr>
      </w:pPr>
      <w:r w:rsidRPr="00A71D26">
        <w:rPr>
          <w:rFonts w:ascii="Arial" w:eastAsia="Times New Roman" w:hAnsi="Arial" w:cs="Arial"/>
          <w:b/>
          <w:sz w:val="24"/>
          <w:szCs w:val="24"/>
          <w:lang w:eastAsia="el-GR"/>
        </w:rPr>
        <w:t>ΠΡΟΕΔΡΕΥΩΝ (Χαράλαμπος Αθανασίου):</w:t>
      </w:r>
      <w:r w:rsidRPr="00A71D26">
        <w:rPr>
          <w:rFonts w:ascii="Arial" w:eastAsia="Times New Roman" w:hAnsi="Arial" w:cs="Arial"/>
          <w:sz w:val="24"/>
          <w:szCs w:val="24"/>
          <w:lang w:eastAsia="el-GR"/>
        </w:rPr>
        <w:t xml:space="preserve"> Εφόσον έχετε ολοκληρώσει την ψηφοφορία, παρακαλώ να κλείσει το σύστημα της ηλεκτρονικής ψηφοφορίας.</w:t>
      </w:r>
    </w:p>
    <w:p w:rsidR="00A71D26" w:rsidRPr="00A71D26" w:rsidRDefault="00A71D26" w:rsidP="00A71D26">
      <w:pPr>
        <w:tabs>
          <w:tab w:val="left" w:pos="2940"/>
        </w:tabs>
        <w:spacing w:afterLines="0"/>
        <w:ind w:firstLine="720"/>
        <w:jc w:val="center"/>
        <w:rPr>
          <w:rFonts w:ascii="Arial" w:eastAsia="Times New Roman" w:hAnsi="Arial" w:cs="Times New Roman"/>
          <w:sz w:val="24"/>
          <w:szCs w:val="24"/>
          <w:lang w:eastAsia="el-GR"/>
        </w:rPr>
      </w:pPr>
      <w:r w:rsidRPr="00A71D26">
        <w:rPr>
          <w:rFonts w:ascii="Arial" w:eastAsia="Times New Roman" w:hAnsi="Arial" w:cs="Arial"/>
          <w:sz w:val="24"/>
          <w:szCs w:val="24"/>
          <w:lang w:eastAsia="el-GR"/>
        </w:rPr>
        <w:t>(ΗΛΕΚΤΡΟΝΙΚΗ ΚΑΤΑΜΕΤΡΗΣΗ)</w:t>
      </w:r>
    </w:p>
    <w:p w:rsidR="00A71D26" w:rsidRPr="00A71D26" w:rsidRDefault="00A71D26" w:rsidP="00A71D26">
      <w:pPr>
        <w:spacing w:afterLines="0"/>
        <w:ind w:firstLine="720"/>
        <w:contextualSpacing/>
        <w:jc w:val="center"/>
        <w:rPr>
          <w:rFonts w:ascii="Arial" w:eastAsia="Times New Roman" w:hAnsi="Arial" w:cs="Times New Roman"/>
          <w:sz w:val="24"/>
          <w:szCs w:val="24"/>
          <w:lang w:eastAsia="el-GR"/>
        </w:rPr>
      </w:pPr>
      <w:r w:rsidRPr="00A71D26">
        <w:rPr>
          <w:rFonts w:ascii="Arial" w:eastAsia="Times New Roman" w:hAnsi="Arial" w:cs="Times New Roman"/>
          <w:sz w:val="24"/>
          <w:szCs w:val="24"/>
          <w:lang w:eastAsia="el-GR"/>
        </w:rPr>
        <w:t>(ΜΕΤΑ ΤΗΝ ΗΛΕΚΤΡΟΝΙΚΗ ΚΑΤΑΜΕΤΡΗΣΗ)</w:t>
      </w:r>
    </w:p>
    <w:p w:rsidR="00A71D26" w:rsidRPr="00A71D26" w:rsidRDefault="00A71D26" w:rsidP="00A71D26">
      <w:pPr>
        <w:tabs>
          <w:tab w:val="left" w:pos="1905"/>
        </w:tabs>
        <w:spacing w:afterLines="0"/>
        <w:ind w:firstLine="720"/>
        <w:rPr>
          <w:rFonts w:ascii="Arial" w:eastAsia="Times New Roman" w:hAnsi="Arial" w:cs="Times New Roman"/>
          <w:sz w:val="24"/>
          <w:szCs w:val="24"/>
          <w:lang w:eastAsia="el-GR"/>
        </w:rPr>
      </w:pPr>
      <w:bookmarkStart w:id="0" w:name="_GoBack"/>
      <w:r w:rsidRPr="00A71D26">
        <w:rPr>
          <w:rFonts w:ascii="Arial" w:eastAsia="Times New Roman" w:hAnsi="Arial" w:cs="Arial"/>
          <w:b/>
          <w:bCs/>
          <w:sz w:val="24"/>
          <w:szCs w:val="24"/>
          <w:shd w:val="clear" w:color="auto" w:fill="FFFFFF"/>
          <w:lang w:eastAsia="zh-CN"/>
        </w:rPr>
        <w:t>ΠΡΟΕΔΡΕΥΩΝ (Χαράλαμπος Αθανασίου):</w:t>
      </w:r>
      <w:r w:rsidRPr="00A71D26">
        <w:rPr>
          <w:rFonts w:ascii="Arial" w:eastAsia="Times New Roman" w:hAnsi="Arial" w:cs="Times New Roman"/>
          <w:sz w:val="24"/>
          <w:szCs w:val="24"/>
          <w:lang w:eastAsia="el-GR"/>
        </w:rPr>
        <w:t xml:space="preserve"> Κυρίες και κύριοι </w:t>
      </w:r>
      <w:bookmarkEnd w:id="0"/>
      <w:r w:rsidRPr="00A71D26">
        <w:rPr>
          <w:rFonts w:ascii="Arial" w:eastAsia="Times New Roman" w:hAnsi="Arial" w:cs="Times New Roman"/>
          <w:sz w:val="24"/>
          <w:szCs w:val="24"/>
          <w:lang w:eastAsia="el-GR"/>
        </w:rPr>
        <w:t>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 κυρίων Ανδρέα Πάτση και Μιλτιάδη Χατζηγιαννάκη.</w:t>
      </w:r>
    </w:p>
    <w:p w:rsidR="00A71D26" w:rsidRPr="00A71D26" w:rsidRDefault="00A71D26" w:rsidP="00A71D26">
      <w:pPr>
        <w:tabs>
          <w:tab w:val="left" w:pos="1905"/>
        </w:tabs>
        <w:spacing w:afterLines="0"/>
        <w:ind w:firstLine="720"/>
        <w:rPr>
          <w:rFonts w:ascii="Arial" w:eastAsia="Times New Roman" w:hAnsi="Arial" w:cs="Times New Roman"/>
          <w:sz w:val="24"/>
          <w:szCs w:val="24"/>
          <w:lang w:eastAsia="el-GR"/>
        </w:rPr>
      </w:pPr>
      <w:r w:rsidRPr="00A71D26">
        <w:rPr>
          <w:rFonts w:ascii="Arial" w:eastAsia="Times New Roman" w:hAnsi="Arial" w:cs="Times New Roman"/>
          <w:sz w:val="24"/>
          <w:szCs w:val="24"/>
          <w:lang w:eastAsia="el-GR"/>
        </w:rPr>
        <w:t>Για την υπόθεση του κ. Ανδρέα Πάτση ψήφισαν συνολικά 138 Βουλευτές.</w:t>
      </w:r>
    </w:p>
    <w:p w:rsidR="00A71D26" w:rsidRPr="00A71D26" w:rsidRDefault="00A71D26" w:rsidP="00A71D26">
      <w:pPr>
        <w:spacing w:afterLines="0"/>
        <w:ind w:firstLine="720"/>
        <w:contextualSpacing/>
        <w:rPr>
          <w:rFonts w:ascii="Arial" w:eastAsia="Times New Roman" w:hAnsi="Arial" w:cs="Times New Roman"/>
          <w:sz w:val="24"/>
          <w:szCs w:val="24"/>
          <w:lang w:eastAsia="el-GR"/>
        </w:rPr>
      </w:pPr>
      <w:r w:rsidRPr="00A71D26">
        <w:rPr>
          <w:rFonts w:ascii="Arial" w:eastAsia="Times New Roman" w:hAnsi="Arial" w:cs="Times New Roman"/>
          <w:sz w:val="24"/>
          <w:szCs w:val="24"/>
          <w:lang w:eastAsia="el-GR"/>
        </w:rPr>
        <w:lastRenderedPageBreak/>
        <w:t>Υπέρ της άρσεως ασυλίας, δηλαδή «ΝΑΙ», εψήφισαν 138 Βουλευτές.</w:t>
      </w:r>
    </w:p>
    <w:p w:rsidR="00A71D26" w:rsidRPr="00A71D26" w:rsidRDefault="00A71D26" w:rsidP="00A71D26">
      <w:pPr>
        <w:spacing w:afterLines="0"/>
        <w:ind w:firstLine="720"/>
        <w:contextualSpacing/>
        <w:rPr>
          <w:rFonts w:ascii="Arial" w:eastAsia="Times New Roman" w:hAnsi="Arial" w:cs="Times New Roman"/>
          <w:sz w:val="24"/>
          <w:szCs w:val="24"/>
          <w:lang w:eastAsia="el-GR"/>
        </w:rPr>
      </w:pPr>
      <w:r w:rsidRPr="00A71D26">
        <w:rPr>
          <w:rFonts w:ascii="Arial" w:eastAsia="Times New Roman" w:hAnsi="Arial" w:cs="Times New Roman"/>
          <w:sz w:val="24"/>
          <w:szCs w:val="24"/>
          <w:lang w:eastAsia="el-GR"/>
        </w:rPr>
        <w:t>Κατά της άρσεως ασυλίας, δηλαδή «ΟΧΙ», ουδείς εψήφισε.</w:t>
      </w:r>
    </w:p>
    <w:p w:rsidR="00A71D26" w:rsidRPr="00A71D26" w:rsidRDefault="00A71D26" w:rsidP="00A71D26">
      <w:pPr>
        <w:spacing w:afterLines="0"/>
        <w:ind w:firstLine="720"/>
        <w:contextualSpacing/>
        <w:rPr>
          <w:rFonts w:ascii="Arial" w:eastAsia="Times New Roman" w:hAnsi="Arial" w:cs="Times New Roman"/>
          <w:sz w:val="24"/>
          <w:szCs w:val="24"/>
          <w:lang w:eastAsia="el-GR"/>
        </w:rPr>
      </w:pPr>
      <w:r w:rsidRPr="00A71D26">
        <w:rPr>
          <w:rFonts w:ascii="Arial" w:eastAsia="Times New Roman" w:hAnsi="Arial" w:cs="Times New Roman"/>
          <w:sz w:val="24"/>
          <w:szCs w:val="24"/>
          <w:lang w:eastAsia="el-GR"/>
        </w:rPr>
        <w:t>«Παρών», ουδείς εψήφισε.</w:t>
      </w:r>
    </w:p>
    <w:p w:rsidR="00A71D26" w:rsidRPr="00A71D26" w:rsidRDefault="00A71D26" w:rsidP="00A71D26">
      <w:pPr>
        <w:spacing w:afterLines="0"/>
        <w:ind w:firstLine="720"/>
        <w:contextualSpacing/>
        <w:rPr>
          <w:rFonts w:ascii="Arial" w:eastAsia="Times New Roman" w:hAnsi="Arial" w:cs="Times New Roman"/>
          <w:sz w:val="24"/>
          <w:szCs w:val="24"/>
          <w:lang w:eastAsia="el-GR"/>
        </w:rPr>
      </w:pPr>
      <w:r w:rsidRPr="00A71D26">
        <w:rPr>
          <w:rFonts w:ascii="Arial" w:eastAsia="Times New Roman" w:hAnsi="Arial" w:cs="Times New Roman"/>
          <w:sz w:val="24"/>
          <w:szCs w:val="24"/>
          <w:lang w:eastAsia="el-GR"/>
        </w:rPr>
        <w:t>Συνεπώς η αίτηση της εισαγγελικής αρχής γίνεται δεκτή, ομόφωνα.</w:t>
      </w:r>
    </w:p>
    <w:p w:rsidR="00A71D26" w:rsidRPr="00A71D26" w:rsidRDefault="00A71D26" w:rsidP="00A71D26">
      <w:pPr>
        <w:spacing w:afterLines="0"/>
        <w:ind w:firstLine="720"/>
        <w:contextualSpacing/>
        <w:rPr>
          <w:rFonts w:ascii="Arial" w:eastAsia="Times New Roman" w:hAnsi="Arial" w:cs="Times New Roman"/>
          <w:sz w:val="24"/>
          <w:szCs w:val="24"/>
          <w:lang w:eastAsia="el-GR"/>
        </w:rPr>
      </w:pPr>
      <w:r w:rsidRPr="00A71D26">
        <w:rPr>
          <w:rFonts w:ascii="Arial" w:eastAsia="Times New Roman" w:hAnsi="Arial" w:cs="Times New Roman"/>
          <w:sz w:val="24"/>
          <w:szCs w:val="24"/>
          <w:lang w:eastAsia="el-GR"/>
        </w:rPr>
        <w:t>Για την υπόθεση του κ. Μιλτιάδη Χατζηγιαννάκη ψήφισαν συνολικά 125 Βουλευτές.</w:t>
      </w:r>
    </w:p>
    <w:p w:rsidR="00A71D26" w:rsidRPr="00A71D26" w:rsidRDefault="00A71D26" w:rsidP="00A71D26">
      <w:pPr>
        <w:spacing w:afterLines="0"/>
        <w:ind w:firstLine="720"/>
        <w:contextualSpacing/>
        <w:rPr>
          <w:rFonts w:ascii="Arial" w:eastAsia="Times New Roman" w:hAnsi="Arial" w:cs="Times New Roman"/>
          <w:sz w:val="24"/>
          <w:szCs w:val="24"/>
          <w:lang w:eastAsia="el-GR"/>
        </w:rPr>
      </w:pPr>
      <w:r w:rsidRPr="00A71D26">
        <w:rPr>
          <w:rFonts w:ascii="Arial" w:eastAsia="Times New Roman" w:hAnsi="Arial" w:cs="Times New Roman"/>
          <w:sz w:val="24"/>
          <w:szCs w:val="24"/>
          <w:lang w:eastAsia="el-GR"/>
        </w:rPr>
        <w:t>Υπέρ της άρσεως ασυλίας, δηλαδή «ΝΑΙ», εψήφισαν 125 Βουλευτές.</w:t>
      </w:r>
    </w:p>
    <w:p w:rsidR="00A71D26" w:rsidRPr="00A71D26" w:rsidRDefault="00A71D26" w:rsidP="00A71D26">
      <w:pPr>
        <w:spacing w:afterLines="0"/>
        <w:ind w:firstLine="720"/>
        <w:contextualSpacing/>
        <w:rPr>
          <w:rFonts w:ascii="Arial" w:eastAsia="Times New Roman" w:hAnsi="Arial" w:cs="Times New Roman"/>
          <w:sz w:val="24"/>
          <w:szCs w:val="24"/>
          <w:lang w:eastAsia="el-GR"/>
        </w:rPr>
      </w:pPr>
      <w:r w:rsidRPr="00A71D26">
        <w:rPr>
          <w:rFonts w:ascii="Arial" w:eastAsia="Times New Roman" w:hAnsi="Arial" w:cs="Times New Roman"/>
          <w:sz w:val="24"/>
          <w:szCs w:val="24"/>
          <w:lang w:eastAsia="el-GR"/>
        </w:rPr>
        <w:t>Κατά της άρσεως ασυλίας, δηλαδή «ΟΧΙ», ουδείς εψήφισε.</w:t>
      </w:r>
    </w:p>
    <w:p w:rsidR="00A71D26" w:rsidRPr="00A71D26" w:rsidRDefault="00A71D26" w:rsidP="00A71D26">
      <w:pPr>
        <w:spacing w:afterLines="0"/>
        <w:ind w:firstLine="720"/>
        <w:contextualSpacing/>
        <w:rPr>
          <w:rFonts w:ascii="Arial" w:eastAsia="Times New Roman" w:hAnsi="Arial" w:cs="Times New Roman"/>
          <w:sz w:val="24"/>
          <w:szCs w:val="24"/>
          <w:lang w:eastAsia="el-GR"/>
        </w:rPr>
      </w:pPr>
      <w:r w:rsidRPr="00A71D26">
        <w:rPr>
          <w:rFonts w:ascii="Arial" w:eastAsia="Times New Roman" w:hAnsi="Arial" w:cs="Times New Roman"/>
          <w:sz w:val="24"/>
          <w:szCs w:val="24"/>
          <w:lang w:eastAsia="el-GR"/>
        </w:rPr>
        <w:t>«Παρών», ουδείς εψήφισε.</w:t>
      </w:r>
    </w:p>
    <w:p w:rsidR="00A71D26" w:rsidRPr="00A71D26" w:rsidRDefault="00A71D26" w:rsidP="00A71D26">
      <w:pPr>
        <w:spacing w:afterLines="0"/>
        <w:ind w:firstLine="720"/>
        <w:contextualSpacing/>
        <w:rPr>
          <w:rFonts w:ascii="Arial" w:eastAsia="Times New Roman" w:hAnsi="Arial" w:cs="Times New Roman"/>
          <w:sz w:val="24"/>
          <w:szCs w:val="24"/>
          <w:lang w:eastAsia="el-GR"/>
        </w:rPr>
      </w:pPr>
      <w:r w:rsidRPr="00A71D26">
        <w:rPr>
          <w:rFonts w:ascii="Arial" w:eastAsia="Times New Roman" w:hAnsi="Arial" w:cs="Times New Roman"/>
          <w:sz w:val="24"/>
          <w:szCs w:val="24"/>
          <w:lang w:eastAsia="el-GR"/>
        </w:rPr>
        <w:t>Συνεπώς η αίτηση της εισαγγελικής αρχής γίνεται δεκτή, ομόφωνα.</w:t>
      </w:r>
    </w:p>
    <w:p w:rsidR="00A71D26" w:rsidRPr="00A71D26" w:rsidRDefault="00A71D26" w:rsidP="00A71D26">
      <w:pPr>
        <w:spacing w:afterLines="0"/>
        <w:ind w:firstLine="720"/>
        <w:contextualSpacing/>
        <w:rPr>
          <w:rFonts w:ascii="Arial" w:eastAsia="Times New Roman" w:hAnsi="Arial" w:cs="Times New Roman"/>
          <w:sz w:val="24"/>
          <w:szCs w:val="24"/>
          <w:lang w:eastAsia="el-GR"/>
        </w:rPr>
      </w:pPr>
      <w:r w:rsidRPr="00A71D26">
        <w:rPr>
          <w:rFonts w:ascii="Arial" w:eastAsia="Times New Roman" w:hAnsi="Arial" w:cs="Times New Roman"/>
          <w:sz w:val="24"/>
          <w:szCs w:val="24"/>
          <w:lang w:eastAsia="el-GR"/>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tbl>
      <w:tblPr>
        <w:tblW w:w="9285" w:type="dxa"/>
        <w:jc w:val="center"/>
        <w:tblCellMar>
          <w:left w:w="10" w:type="dxa"/>
          <w:right w:w="10" w:type="dxa"/>
        </w:tblCellMar>
        <w:tblLook w:val="04A0" w:firstRow="1" w:lastRow="0" w:firstColumn="1" w:lastColumn="0" w:noHBand="0" w:noVBand="1"/>
      </w:tblPr>
      <w:tblGrid>
        <w:gridCol w:w="4120"/>
        <w:gridCol w:w="1500"/>
        <w:gridCol w:w="2525"/>
        <w:gridCol w:w="1140"/>
      </w:tblGrid>
      <w:tr w:rsidR="00A71D26" w:rsidRPr="00A71D26" w:rsidTr="00A85FCF">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Κ.Ο</w:t>
            </w:r>
          </w:p>
        </w:tc>
        <w:tc>
          <w:tcPr>
            <w:tcW w:w="2525" w:type="dxa"/>
            <w:tcBorders>
              <w:top w:val="single" w:sz="4" w:space="0" w:color="000000"/>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rPr>
                <w:rFonts w:ascii="Segoe UI" w:eastAsia="Times New Roman" w:hAnsi="Segoe UI" w:cs="Segoe UI"/>
                <w:sz w:val="18"/>
                <w:szCs w:val="18"/>
                <w:lang w:eastAsia="el-GR"/>
              </w:rPr>
            </w:pPr>
            <w:proofErr w:type="spellStart"/>
            <w:r w:rsidRPr="00A71D26">
              <w:rPr>
                <w:rFonts w:ascii="Segoe UI" w:eastAsia="Times New Roman" w:hAnsi="Segoe UI" w:cs="Segoe UI"/>
                <w:sz w:val="18"/>
                <w:szCs w:val="18"/>
                <w:lang w:eastAsia="el-GR"/>
              </w:rPr>
              <w:t>Εκλ</w:t>
            </w:r>
            <w:proofErr w:type="spellEnd"/>
            <w:r w:rsidRPr="00A71D26">
              <w:rPr>
                <w:rFonts w:ascii="Segoe UI" w:eastAsia="Times New Roman" w:hAnsi="Segoe UI" w:cs="Segoe UI"/>
                <w:sz w:val="18"/>
                <w:szCs w:val="18"/>
                <w:lang w:eastAsia="el-GR"/>
              </w:rPr>
              <w:t>. Περιφέρεια</w:t>
            </w:r>
          </w:p>
        </w:tc>
        <w:tc>
          <w:tcPr>
            <w:tcW w:w="1140" w:type="dxa"/>
            <w:tcBorders>
              <w:top w:val="single" w:sz="4" w:space="0" w:color="000000"/>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Ψήφος</w:t>
            </w:r>
          </w:p>
        </w:tc>
      </w:tr>
      <w:tr w:rsidR="00A71D26" w:rsidRPr="00A71D26" w:rsidTr="00A85FCF">
        <w:trPr>
          <w:trHeight w:val="48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A71D26" w:rsidRPr="00A71D26" w:rsidRDefault="00A71D26" w:rsidP="00A71D26">
            <w:pPr>
              <w:spacing w:afterLines="0" w:line="259" w:lineRule="auto"/>
              <w:ind w:firstLine="0"/>
              <w:jc w:val="left"/>
              <w:outlineLvl w:val="0"/>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Πράξη: Αξιόποινη πράξη του α. 25 παρ. 1α του Ν. 1882/1990. (ΣΥΝΟΛΙΚΑ ΨΗΦΟΙ: NAI:138, OXI:0, ΠΡΝ:0)</w:t>
            </w:r>
          </w:p>
        </w:tc>
        <w:tc>
          <w:tcPr>
            <w:tcW w:w="1500" w:type="dxa"/>
            <w:tcBorders>
              <w:top w:val="nil"/>
              <w:left w:val="nil"/>
              <w:bottom w:val="single" w:sz="4" w:space="0" w:color="000000"/>
              <w:right w:val="single" w:sz="4" w:space="0" w:color="000000"/>
            </w:tcBorders>
            <w:shd w:val="clear" w:color="auto" w:fill="auto"/>
            <w:vAlign w:val="center"/>
            <w:hideMark/>
          </w:tcPr>
          <w:p w:rsidR="00A71D26" w:rsidRPr="00A71D26" w:rsidRDefault="00A71D26" w:rsidP="00A71D26">
            <w:pPr>
              <w:spacing w:afterLines="0" w:line="259" w:lineRule="auto"/>
              <w:ind w:firstLine="0"/>
              <w:jc w:val="left"/>
              <w:outlineLvl w:val="0"/>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w:t>
            </w:r>
          </w:p>
        </w:tc>
        <w:tc>
          <w:tcPr>
            <w:tcW w:w="2525" w:type="dxa"/>
            <w:tcBorders>
              <w:top w:val="nil"/>
              <w:left w:val="nil"/>
              <w:bottom w:val="single" w:sz="4" w:space="0" w:color="000000"/>
              <w:right w:val="single" w:sz="4" w:space="0" w:color="000000"/>
            </w:tcBorders>
            <w:shd w:val="clear" w:color="auto" w:fill="auto"/>
            <w:vAlign w:val="center"/>
            <w:hideMark/>
          </w:tcPr>
          <w:p w:rsidR="00A71D26" w:rsidRPr="00A71D26" w:rsidRDefault="00A71D26" w:rsidP="00A71D26">
            <w:pPr>
              <w:spacing w:afterLines="0" w:line="259" w:lineRule="auto"/>
              <w:ind w:firstLine="0"/>
              <w:jc w:val="left"/>
              <w:outlineLvl w:val="0"/>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w:t>
            </w:r>
          </w:p>
        </w:tc>
        <w:tc>
          <w:tcPr>
            <w:tcW w:w="1140" w:type="dxa"/>
            <w:tcBorders>
              <w:top w:val="nil"/>
              <w:left w:val="nil"/>
              <w:bottom w:val="single" w:sz="4" w:space="0" w:color="000000"/>
              <w:right w:val="single" w:sz="4" w:space="0" w:color="000000"/>
            </w:tcBorders>
            <w:shd w:val="clear" w:color="auto" w:fill="auto"/>
            <w:vAlign w:val="center"/>
            <w:hideMark/>
          </w:tcPr>
          <w:p w:rsidR="00A71D26" w:rsidRPr="00A71D26" w:rsidRDefault="00A71D26" w:rsidP="00A71D26">
            <w:pPr>
              <w:spacing w:afterLines="0" w:line="259" w:lineRule="auto"/>
              <w:ind w:firstLine="0"/>
              <w:jc w:val="left"/>
              <w:outlineLvl w:val="0"/>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ΘΕΣΣΑΛΟΝΙΚΗΣ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ΣΕΡΡΩΝ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ΚΙΛΚΙΣ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ΑΝΑΤΟΛΙΚΗΣ ΑΤΤΙΚΗΣ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Β2΄ ΔΥΤΙΚΟΥ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ΛΕΣΒΟΥ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ΖΑΚΥΝΘΟΥ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lastRenderedPageBreak/>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ΠΕΙΡΑΙΩΣ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Β1΄ ΒΟΡΕΙΟΥ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ΑΧΑΪΑΣ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ΚΟΖΑΝΗΣ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ΙΩΑΝΝΙΝΩΝ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ΑΧΑΪΑΣ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ΑΡΓΟΛΙΔΟΣ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ΕΥΒΟΙΑΣ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 ΠΕΙΡΑΙΩΣ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 </w:t>
            </w:r>
            <w:proofErr w:type="spellStart"/>
            <w:r w:rsidRPr="00A71D26">
              <w:rPr>
                <w:rFonts w:ascii="Segoe UI" w:eastAsia="Times New Roman" w:hAnsi="Segoe UI" w:cs="Segoe UI"/>
                <w:sz w:val="18"/>
                <w:szCs w:val="18"/>
                <w:lang w:eastAsia="el-GR"/>
              </w:rPr>
              <w:t>θΕΣΣΑΛΟΝΙΚΗΣ</w:t>
            </w:r>
            <w:proofErr w:type="spellEnd"/>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ΗΛΕΙΑΣ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ΚΕΡΚΥΡΑ</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ΡΟΔΟΠΗΣ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ΕΠΙΚΡΑΤΕΙΑΣ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ΠΕΛΛΗΣ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ΕΠΙΚΡΑΤΕΙΑΣ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ΛΑΡΙΣΗΣ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ΕΠΚΡΑΤΕΙΑΣ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Β2΄ ΔΥΤΙΚΟΥ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ΚΟΖΑΝΗΣ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ΕΠΙΚΡΑΤΕΙΑΣ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ΕΒΡΟΥ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ΑΡΓΟΛΙΔΟΣ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ΑΡΤΗΣ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ΛΑΚΩΝΙΑΣ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ΕΒΡΟΥ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ΠΕΙΡΑΙΩΣ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Β2΄ ΔΥΤΙΚΟΥ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lastRenderedPageBreak/>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ΚΑΒΑΛΑΣ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Β1΄ ΒΟΡΕΙΟΥ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ΕΥΒΟΙΑΣ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Β1΄ ΒΟΡΕΙΟΥ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ΗΛΕΙΑΣ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ΚΕΦΑΛΛΗΝΙΑΣ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ΑΙΤΩΛΟΑΚΑΡΝΑΝΙΑΣ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ΗΜΑΘΙΑΣ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ΗΛΕΙΑΣ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Β2΄ ΔΥΤΙΚΟΥ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ΗΡΑΚΛΕΙΟΥ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ΕΥΒΟΙΑΣ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ΕΒΡΟΥ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ΙΩΑΝΝΙΝΩΝ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ΛΕΣΒΟΥ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ΘΕΣΣΑΛΟΝΙΚΗΣ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ΒΟΙΩΤΙΑΣ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ΛΑΚΩΝΙΑΣ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ΚΟΖΑΝΗΣ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ΑΡΚΑΔΙΑΣ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ΔΥΤΙΚΗΣ ΑΤΤΙΚΗΣ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ΚΑΡΔΙΤΣΗΣ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ΚΑΒΑΛΑΣ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ΛΑΡΙΣΗΣ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ΔΥΤΙΚΗΣ ΑΤΤΙΚΗΣ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ΛΑΡΙΣΗΣ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ΜΑΓΝΗΣΙΑΣ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ΜΑΓΝΗΣΙΑΣ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lastRenderedPageBreak/>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ΧΑΛΚΙΔΙΚΗΣ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ΗΡΑΚΛΕΙΟΥ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ΠΙΕΡΙΑΣ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ΜΕΣΣΗΝΙΑΣ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ΜΑΓΝΗΣΙΑΣ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ΠΕΙΡΑΙΩΣ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ΚΥΚΛΑΔΩΝ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ΠΕΙΡΑΙΩΣ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ΠΙΕΡΙΑΣ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ΞΑΝΘΗΣ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ΠΡΕΒΕΖΗΣ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ΗΜΑΘΙΑΣ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ΚΕΡΚΥΡΑΣ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ΛΑΡΙΣΗΣ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ΦΩΚΙΔΟΣ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ΜΑΓΝΗΣΙΑΣ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ΣΕΡΡΩΝ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Β΄ΔΥΤΙΚΗΣ ΑΤΤΙΚΗΣ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ΛΕΣΒΟΥ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ΠΕΙΡΑΙΩΣ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Α΄ΑΝΑΤΟΛΙΚΗΣ ΑΤΤΙΚΗΣ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ΗΛΕΙΑΣ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ΘΕΣΣΑΛΟΝΙΚΗΣ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ΔΡΑΜΑΣ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Β1΄ ΒΟΡΕΙΟΥ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ΦΘΙΩΤΙΔΟΣ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ΑΡΚΑΔΙΑΣ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ΚΑΒΑΛΑΣ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ΦΛΩΡΙΝΗΣ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ΕΥΒΟΙΑΣ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ΑΡΓΟΛΙΔΟΣ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ΠΕΙΡΑΙΩΣ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Β1΄ ΒΟΡΕΙΟΥ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ΔΩΔΕΚΑΝΗΣΟΥ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ΦΘΙΩΤΙΔΟΣ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ΗΡΑΚΛΕΙΟΥ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ΘΕΣΣΑΛΟΝΙΚΗΣ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ΚΑΡΔΙΤΣΗΣ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ΕΠΙΚΡΑΤΕΙΑΣ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ΚΟΡΙΝΘΙΑΣ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ΠΕΛΛΗΣ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 ΘΕΣΣΑΛΟΝΙΚΗΣ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ΡΟΔΟΠΗΣ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ΗΡΑΚΛΕΙΟΥ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ΚΥΚΛΑΔΩΝ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ΙΩΑΝΝΙΝΩΝ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ΚΑΣΤΟΡΙΑΣ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ΙΩΑΝΝΙΝΩΝ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ΗΜΑΘΙΑΣ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ΑΧΑΪΑΣ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ΞΑΝΘΗΣ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ΔΩΔΕΚΑΝΗΣΟΥ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 ΘΕΣΣΑΛΟΝΙΚΗΣ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ΕΠΙΚΡΑΤΕΙΑΣ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ΚΙΛΚΙΣ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ΑΧΑΪΑΣ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ΣΕΡΡΩΝ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ΕΥΒΟΙΑΣ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lastRenderedPageBreak/>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ΦΘΙΩΤΙΔΟΣ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ΘΕΣΣΑΛΟΝΙΚΗΣ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ΠΙΕΡΙΑΣ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72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A71D26" w:rsidRPr="00A71D26" w:rsidRDefault="00A71D26" w:rsidP="00A71D26">
            <w:pPr>
              <w:spacing w:afterLines="0" w:line="259" w:lineRule="auto"/>
              <w:ind w:firstLine="0"/>
              <w:jc w:val="left"/>
              <w:outlineLvl w:val="0"/>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Πράξη: Αξιόποινη πράξη της παρεμπόδισης αποτροπής κοινού κινδύνου (άρθρα 1, 12, 14, 15, 18, 26, 27, 51, 53, 57, 79, 288 παρ. 1 του Π.Κ.). (ΣΥΝΟΛΙΚΑ ΨΗΦΟΙ: NAI:125, OXI:0, ΠΡΝ:0)</w:t>
            </w:r>
          </w:p>
        </w:tc>
        <w:tc>
          <w:tcPr>
            <w:tcW w:w="1500" w:type="dxa"/>
            <w:tcBorders>
              <w:top w:val="nil"/>
              <w:left w:val="nil"/>
              <w:bottom w:val="single" w:sz="4" w:space="0" w:color="000000"/>
              <w:right w:val="single" w:sz="4" w:space="0" w:color="000000"/>
            </w:tcBorders>
            <w:shd w:val="clear" w:color="auto" w:fill="auto"/>
            <w:vAlign w:val="center"/>
            <w:hideMark/>
          </w:tcPr>
          <w:p w:rsidR="00A71D26" w:rsidRPr="00A71D26" w:rsidRDefault="00A71D26" w:rsidP="00A71D26">
            <w:pPr>
              <w:spacing w:afterLines="0" w:line="259" w:lineRule="auto"/>
              <w:ind w:firstLine="0"/>
              <w:jc w:val="left"/>
              <w:outlineLvl w:val="0"/>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w:t>
            </w:r>
          </w:p>
        </w:tc>
        <w:tc>
          <w:tcPr>
            <w:tcW w:w="2525" w:type="dxa"/>
            <w:tcBorders>
              <w:top w:val="nil"/>
              <w:left w:val="nil"/>
              <w:bottom w:val="single" w:sz="4" w:space="0" w:color="000000"/>
              <w:right w:val="single" w:sz="4" w:space="0" w:color="000000"/>
            </w:tcBorders>
            <w:shd w:val="clear" w:color="auto" w:fill="auto"/>
            <w:vAlign w:val="center"/>
            <w:hideMark/>
          </w:tcPr>
          <w:p w:rsidR="00A71D26" w:rsidRPr="00A71D26" w:rsidRDefault="00A71D26" w:rsidP="00A71D26">
            <w:pPr>
              <w:spacing w:afterLines="0" w:line="259" w:lineRule="auto"/>
              <w:ind w:firstLine="0"/>
              <w:jc w:val="left"/>
              <w:outlineLvl w:val="0"/>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w:t>
            </w:r>
          </w:p>
        </w:tc>
        <w:tc>
          <w:tcPr>
            <w:tcW w:w="1140" w:type="dxa"/>
            <w:tcBorders>
              <w:top w:val="nil"/>
              <w:left w:val="nil"/>
              <w:bottom w:val="single" w:sz="4" w:space="0" w:color="000000"/>
              <w:right w:val="single" w:sz="4" w:space="0" w:color="000000"/>
            </w:tcBorders>
            <w:shd w:val="clear" w:color="auto" w:fill="auto"/>
            <w:vAlign w:val="center"/>
            <w:hideMark/>
          </w:tcPr>
          <w:p w:rsidR="00A71D26" w:rsidRPr="00A71D26" w:rsidRDefault="00A71D26" w:rsidP="00A71D26">
            <w:pPr>
              <w:spacing w:afterLines="0" w:line="259" w:lineRule="auto"/>
              <w:ind w:firstLine="0"/>
              <w:jc w:val="left"/>
              <w:outlineLvl w:val="0"/>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ΘΕΣΣΑΛΟΝΙΚΗΣ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ΣΕΡΡΩΝ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ΚΙΛΚΙΣ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ΑΝΑΤΟΛΙΚΗΣ ΑΤΤΙΚΗΣ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Β2΄ ΔΥΤΙΚΟΥ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ΛΕΣΒΟΥ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ΖΑΚΥΝΘΟΥ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ΠΕΙΡΑΙΩΣ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Β1΄ ΒΟΡΕΙΟΥ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ΑΧΑΪΑΣ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ΚΟΖΑΝΗΣ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ΙΩΑΝΝΙΝΩΝ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ΑΧΑΪΑΣ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ΑΡΓΟΛΙΔΟΣ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ΕΥΒΟΙΑΣ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 ΠΕΙΡΑΙΩΣ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 </w:t>
            </w:r>
            <w:proofErr w:type="spellStart"/>
            <w:r w:rsidRPr="00A71D26">
              <w:rPr>
                <w:rFonts w:ascii="Segoe UI" w:eastAsia="Times New Roman" w:hAnsi="Segoe UI" w:cs="Segoe UI"/>
                <w:sz w:val="18"/>
                <w:szCs w:val="18"/>
                <w:lang w:eastAsia="el-GR"/>
              </w:rPr>
              <w:t>θΕΣΣΑΛΟΝΙΚΗΣ</w:t>
            </w:r>
            <w:proofErr w:type="spellEnd"/>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ΗΛΕΙΑΣ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ΚΕΡΚΥΡΑ</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ΡΟΔΟΠΗΣ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ΕΠΙΚΡΑΤΕΙΑΣ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ΠΕΛΛΗΣ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ΕΠΙΚΡΑΤΕΙΑΣ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lastRenderedPageBreak/>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ΛΑΡΙΣΗΣ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ΕΠΚΡΑΤΕΙΑΣ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Β2΄ ΔΥΤΙΚΟΥ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ΚΟΖΑΝΗΣ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ΕΠΙΚΡΑΤΕΙΑΣ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ΕΒΡΟΥ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ΑΡΓΟΛΙΔΟΣ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ΑΡΤΗΣ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ΛΑΚΩΝΙΑΣ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ΕΒΡΟΥ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ΠΕΙΡΑΙΩΣ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Β2΄ ΔΥΤΙΚΟΥ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ΚΑΒΑΛΑΣ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Β1΄ ΒΟΡΕΙΟΥ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ΕΥΒΟΙΑΣ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Β1΄ ΒΟΡΕΙΟΥ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ΗΛΕΙΑΣ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ΚΕΦΑΛΛΗΝΙΑΣ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ΑΙΤΩΛΟΑΚΑΡΝΑΝΙΑΣ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ΗΜΑΘΙΑΣ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ΗΛΕΙΑΣ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Β2΄ ΔΥΤΙΚΟΥ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ΗΡΑΚΛΕΙΟΥ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ΕΥΒΟΙΑΣ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ΕΒΡΟΥ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ΙΩΑΝΝΙΝΩΝ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lastRenderedPageBreak/>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ΛΕΣΒΟΥ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ΘΕΣΣΑΛΟΝΙΚΗΣ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ΒΟΙΩΤΙΑΣ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ΛΑΚΩΝΙΑΣ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ΚΟΖΑΝΗΣ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ΑΡΚΑΔΙΑΣ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ΔΥΤΙΚΗΣ ΑΤΤΙΚΗΣ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ΚΑΡΔΙΤΣΗΣ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ΚΑΒΑΛΑΣ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ΛΑΡΙΣΗΣ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ΔΥΤΙΚΗΣ ΑΤΤΙΚΗΣ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ΛΑΡΙΣΗΣ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ΜΑΓΝΗΣΙΑΣ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ΜΑΓΝΗΣΙΑΣ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ΧΑΛΚΙΔΙΚΗΣ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ΗΡΑΚΛΕΙΟΥ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ΠΙΕΡΙΑΣ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ΜΕΣΣΗΝΙΑΣ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ΜΑΓΝΗΣΙΑΣ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ΠΕΙΡΑΙΩΣ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ΚΥΚΛΑΔΩΝ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ΜέΡΑ25</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ΠΕΙΡΑΙΩΣ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ΠΙΕΡΙΑΣ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ΞΑΝΘΗΣ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ΠΡΕΒΕΖΗΣ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ΗΜΑΘΙΑΣ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ΚΕΡΚΥΡΑΣ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ΛΑΡΙΣΗΣ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ΦΩΚΙΔΟΣ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lastRenderedPageBreak/>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ΜΑΓΝΗΣΙΑΣ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ΣΕΡΡΩΝ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Β΄ΔΥΤΙΚΗΣ ΑΤΤΙΚΗΣ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ΛΕΣΒΟΥ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ΠΕΙΡΑΙΩΣ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Α΄ΑΝΑΤΟΛΙΚΗΣ ΑΤΤΙΚΗΣ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ΗΛΕΙΑΣ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ΘΕΣΣΑΛΟΝΙΚΗΣ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ΔΡΑΜΑΣ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Β1΄ ΒΟΡΕΙΟΥ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ΦΘΙΩΤΙΔΟΣ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ΑΡΚΑΔΙΑΣ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ΚΑΒΑΛΑΣ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ΦΛΩΡΙΝΗΣ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ΕΥΒΟΙΑΣ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ΑΡΓΟΛΙΔΟΣ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ΠΕΙΡΑΙΩΣ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Β1΄ ΒΟΡΕΙΟΥ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ΔΩΔΕΚΑΝΗΣΟΥ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ΦΘΙΩΤΙΔΟΣ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ΗΡΑΚΛΕΙΟΥ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ΘΕΣΣΑΛΟΝΙΚΗΣ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ΚΑΡΔΙΤΣΗΣ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ΕΠΙΚΡΑΤΕΙΑΣ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ΚΟΡΙΝΘΙΑΣ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ΠΕΛΛΗΣ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 ΘΕΣΣΑΛΟΝΙΚΗΣ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ΡΟΔΟΠΗΣ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Κ.Κ.Ε.</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ΗΡΑΚΛΕΙΟΥ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ΚΥΚΛΑΔΩΝ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lastRenderedPageBreak/>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ΙΩΑΝΝΙΝΩΝ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ΚΑΣΤΟΡΙΑΣ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ΙΩΑΝΝΙΝΩΝ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ΗΜΑΘΙΑΣ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ΑΧΑΪΑΣ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ΞΑΝΘΗΣ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ΔΩΔΕΚΑΝΗΣΟΥ</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Β΄ ΘΕΣΣΑΛΟΝΙΚΗΣ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ΕΠΙΚΡΑΤΕΙΑΣ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Κίνημα Αλλαγής</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ΚΙΛΚΙΣ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ΑΧΑΪΑΣ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ΣΕΡΡΩΝ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ΕΥΒΟΙΑΣ </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ΦΘΙΩΤΙΔΟΣ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ΕΛΛΗΝΙΚΗ ΛΥΣΗ</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 ΘΕΣΣΑΛΟΝΙΚΗΣ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Νέα Δημοκρατία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ΠΙΕΡΙΑΣ</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r w:rsidR="00A71D26" w:rsidRPr="00A71D26" w:rsidTr="00A85FC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ΣΥΡΙΖΑ</w:t>
            </w:r>
          </w:p>
        </w:tc>
        <w:tc>
          <w:tcPr>
            <w:tcW w:w="2525"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Β3΄ ΝΟΤΙΟΥ ΤΟΜΕΑ ΑΘΗΝΩΝ</w:t>
            </w:r>
          </w:p>
        </w:tc>
        <w:tc>
          <w:tcPr>
            <w:tcW w:w="1140" w:type="dxa"/>
            <w:tcBorders>
              <w:top w:val="nil"/>
              <w:left w:val="nil"/>
              <w:bottom w:val="single" w:sz="4" w:space="0" w:color="000000"/>
              <w:right w:val="single" w:sz="4" w:space="0" w:color="000000"/>
            </w:tcBorders>
            <w:shd w:val="clear" w:color="auto" w:fill="auto"/>
            <w:noWrap/>
            <w:vAlign w:val="center"/>
            <w:hideMark/>
          </w:tcPr>
          <w:p w:rsidR="00A71D26" w:rsidRPr="00A71D26" w:rsidRDefault="00A71D26" w:rsidP="00A71D26">
            <w:pPr>
              <w:spacing w:afterLines="0" w:line="259" w:lineRule="auto"/>
              <w:ind w:firstLine="0"/>
              <w:jc w:val="left"/>
              <w:outlineLvl w:val="1"/>
              <w:rPr>
                <w:rFonts w:ascii="Segoe UI" w:eastAsia="Times New Roman" w:hAnsi="Segoe UI" w:cs="Segoe UI"/>
                <w:sz w:val="18"/>
                <w:szCs w:val="18"/>
                <w:lang w:eastAsia="el-GR"/>
              </w:rPr>
            </w:pPr>
            <w:r w:rsidRPr="00A71D26">
              <w:rPr>
                <w:rFonts w:ascii="Segoe UI" w:eastAsia="Times New Roman" w:hAnsi="Segoe UI" w:cs="Segoe UI"/>
                <w:sz w:val="18"/>
                <w:szCs w:val="18"/>
                <w:lang w:eastAsia="el-GR"/>
              </w:rPr>
              <w:t>ΝΑΙ</w:t>
            </w:r>
          </w:p>
        </w:tc>
      </w:tr>
    </w:tbl>
    <w:p w:rsidR="00A71D26" w:rsidRPr="00A71D26" w:rsidRDefault="00A71D26" w:rsidP="00A71D26">
      <w:pPr>
        <w:spacing w:afterLines="0"/>
        <w:ind w:firstLine="0"/>
        <w:contextualSpacing/>
        <w:rPr>
          <w:rFonts w:ascii="Arial" w:eastAsia="Times New Roman" w:hAnsi="Arial" w:cs="Times New Roman"/>
          <w:sz w:val="24"/>
          <w:szCs w:val="24"/>
          <w:lang w:eastAsia="el-GR"/>
        </w:rPr>
      </w:pPr>
    </w:p>
    <w:tbl>
      <w:tblPr>
        <w:tblW w:w="9649" w:type="dxa"/>
        <w:tblCellMar>
          <w:left w:w="10" w:type="dxa"/>
          <w:right w:w="10" w:type="dxa"/>
        </w:tblCellMar>
        <w:tblLook w:val="04A0" w:firstRow="1" w:lastRow="0" w:firstColumn="1" w:lastColumn="0" w:noHBand="0" w:noVBand="1"/>
      </w:tblPr>
      <w:tblGrid>
        <w:gridCol w:w="2700"/>
        <w:gridCol w:w="5320"/>
        <w:gridCol w:w="920"/>
        <w:gridCol w:w="709"/>
      </w:tblGrid>
      <w:tr w:rsidR="00A71D26" w:rsidRPr="00A71D26" w:rsidTr="00A85FCF">
        <w:trPr>
          <w:trHeight w:val="15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4"/>
                <w:szCs w:val="24"/>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r>
      <w:tr w:rsidR="00A71D26" w:rsidRPr="00A71D26" w:rsidTr="00A85FCF">
        <w:trPr>
          <w:trHeight w:val="33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r>
      <w:tr w:rsidR="00A71D26" w:rsidRPr="00A71D26" w:rsidTr="00A85FCF">
        <w:trPr>
          <w:trHeight w:val="15"/>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r>
      <w:tr w:rsidR="00A71D26" w:rsidRPr="00A71D26" w:rsidTr="00A85FCF">
        <w:trPr>
          <w:trHeight w:val="795"/>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Άρσεις Ασυλίας</w:t>
            </w:r>
          </w:p>
        </w:tc>
        <w:tc>
          <w:tcPr>
            <w:tcW w:w="9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709"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r>
      <w:tr w:rsidR="00A71D26" w:rsidRPr="00A71D26" w:rsidTr="00A85FCF">
        <w:trPr>
          <w:trHeight w:val="135"/>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r>
      <w:tr w:rsidR="00A71D26" w:rsidRPr="00A71D26" w:rsidTr="00A85FCF">
        <w:trPr>
          <w:trHeight w:val="720"/>
        </w:trPr>
        <w:tc>
          <w:tcPr>
            <w:tcW w:w="2700" w:type="dxa"/>
            <w:tcBorders>
              <w:top w:val="nil"/>
              <w:left w:val="nil"/>
              <w:bottom w:val="nil"/>
              <w:right w:val="nil"/>
            </w:tcBorders>
            <w:shd w:val="clear" w:color="auto" w:fill="auto"/>
            <w:hideMark/>
          </w:tcPr>
          <w:p w:rsidR="00A71D26" w:rsidRPr="00A71D26" w:rsidRDefault="00A71D26" w:rsidP="00A71D26">
            <w:pPr>
              <w:spacing w:afterLines="0" w:line="259" w:lineRule="auto"/>
              <w:ind w:firstLine="0"/>
              <w:jc w:val="center"/>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Ονοματεπώνυμο - Εμπλεκόμενοι</w:t>
            </w:r>
          </w:p>
        </w:tc>
        <w:tc>
          <w:tcPr>
            <w:tcW w:w="5320" w:type="dxa"/>
            <w:tcBorders>
              <w:top w:val="nil"/>
              <w:left w:val="nil"/>
              <w:bottom w:val="nil"/>
              <w:right w:val="nil"/>
            </w:tcBorders>
            <w:shd w:val="clear" w:color="auto" w:fill="auto"/>
            <w:hideMark/>
          </w:tcPr>
          <w:p w:rsidR="00A71D26" w:rsidRPr="00A71D26" w:rsidRDefault="00A71D26" w:rsidP="00A71D26">
            <w:pPr>
              <w:spacing w:afterLines="0" w:line="259" w:lineRule="auto"/>
              <w:ind w:firstLine="0"/>
              <w:jc w:val="center"/>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Πράξη για την οποία ζητείται η άρση της ασυλίας</w:t>
            </w:r>
          </w:p>
        </w:tc>
        <w:tc>
          <w:tcPr>
            <w:tcW w:w="1629" w:type="dxa"/>
            <w:gridSpan w:val="2"/>
            <w:tcBorders>
              <w:top w:val="nil"/>
              <w:left w:val="nil"/>
              <w:bottom w:val="nil"/>
              <w:right w:val="single" w:sz="4" w:space="0" w:color="000000"/>
            </w:tcBorders>
            <w:shd w:val="clear" w:color="auto" w:fill="auto"/>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Αποτελέσματα</w:t>
            </w:r>
          </w:p>
        </w:tc>
      </w:tr>
      <w:tr w:rsidR="00A71D26" w:rsidRPr="00A71D26" w:rsidTr="00A85FCF">
        <w:trPr>
          <w:trHeight w:val="330"/>
        </w:trPr>
        <w:tc>
          <w:tcPr>
            <w:tcW w:w="2700" w:type="dxa"/>
            <w:vMerge w:val="restart"/>
            <w:tcBorders>
              <w:top w:val="nil"/>
              <w:left w:val="nil"/>
              <w:bottom w:val="nil"/>
              <w:right w:val="nil"/>
            </w:tcBorders>
            <w:shd w:val="clear" w:color="auto" w:fill="auto"/>
            <w:hideMark/>
          </w:tcPr>
          <w:p w:rsidR="00A71D26" w:rsidRPr="00A71D26" w:rsidRDefault="00A71D26" w:rsidP="00A71D26">
            <w:pPr>
              <w:spacing w:afterLines="0" w:after="240" w:line="259" w:lineRule="auto"/>
              <w:ind w:firstLine="0"/>
              <w:jc w:val="lef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 xml:space="preserve">ΠΑΤΣΗΣ ΑΝΔΡΕΑΣ </w:t>
            </w:r>
            <w:r w:rsidRPr="00A71D26">
              <w:rPr>
                <w:rFonts w:ascii="Calibri" w:eastAsia="Times New Roman" w:hAnsi="Calibri"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A71D26" w:rsidRPr="00A71D26" w:rsidRDefault="00A71D26" w:rsidP="00A71D26">
            <w:pPr>
              <w:spacing w:afterLines="0" w:line="259" w:lineRule="auto"/>
              <w:ind w:firstLine="0"/>
              <w:jc w:val="center"/>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Αξιόποινη πράξη του α. 25 παρ. 1α του Ν. 1882/1990.</w:t>
            </w: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ΝΑΙ</w:t>
            </w: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138</w:t>
            </w:r>
          </w:p>
        </w:tc>
      </w:tr>
      <w:tr w:rsidR="00A71D26" w:rsidRPr="00A71D26" w:rsidTr="00A85FCF">
        <w:trPr>
          <w:trHeight w:val="330"/>
        </w:trPr>
        <w:tc>
          <w:tcPr>
            <w:tcW w:w="2700" w:type="dxa"/>
            <w:vMerge/>
            <w:tcBorders>
              <w:top w:val="nil"/>
              <w:left w:val="nil"/>
              <w:bottom w:val="nil"/>
              <w:right w:val="nil"/>
            </w:tcBorders>
            <w:vAlign w:val="center"/>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OXI</w:t>
            </w: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0</w:t>
            </w:r>
          </w:p>
        </w:tc>
      </w:tr>
      <w:tr w:rsidR="00A71D26" w:rsidRPr="00A71D26" w:rsidTr="00A85FCF">
        <w:trPr>
          <w:trHeight w:val="330"/>
        </w:trPr>
        <w:tc>
          <w:tcPr>
            <w:tcW w:w="2700" w:type="dxa"/>
            <w:vMerge/>
            <w:tcBorders>
              <w:top w:val="nil"/>
              <w:left w:val="nil"/>
              <w:bottom w:val="nil"/>
              <w:right w:val="nil"/>
            </w:tcBorders>
            <w:vAlign w:val="center"/>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ΠΡΝ</w:t>
            </w: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0</w:t>
            </w:r>
          </w:p>
        </w:tc>
      </w:tr>
      <w:tr w:rsidR="00A71D26" w:rsidRPr="00A71D26" w:rsidTr="00A85FCF">
        <w:trPr>
          <w:trHeight w:val="330"/>
        </w:trPr>
        <w:tc>
          <w:tcPr>
            <w:tcW w:w="2700" w:type="dxa"/>
            <w:vMerge/>
            <w:tcBorders>
              <w:top w:val="nil"/>
              <w:left w:val="nil"/>
              <w:bottom w:val="nil"/>
              <w:right w:val="nil"/>
            </w:tcBorders>
            <w:vAlign w:val="center"/>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ΣΥΝ</w:t>
            </w: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138</w:t>
            </w:r>
          </w:p>
        </w:tc>
      </w:tr>
      <w:tr w:rsidR="00A71D26" w:rsidRPr="00A71D26" w:rsidTr="00A85FCF">
        <w:trPr>
          <w:trHeight w:val="330"/>
        </w:trPr>
        <w:tc>
          <w:tcPr>
            <w:tcW w:w="2700" w:type="dxa"/>
            <w:vMerge w:val="restart"/>
            <w:tcBorders>
              <w:top w:val="nil"/>
              <w:left w:val="nil"/>
              <w:bottom w:val="nil"/>
              <w:right w:val="nil"/>
            </w:tcBorders>
            <w:shd w:val="clear" w:color="auto" w:fill="auto"/>
            <w:hideMark/>
          </w:tcPr>
          <w:p w:rsidR="00A71D26" w:rsidRPr="00A71D26" w:rsidRDefault="00A71D26" w:rsidP="00A71D26">
            <w:pPr>
              <w:spacing w:afterLines="0" w:after="240" w:line="259" w:lineRule="auto"/>
              <w:ind w:firstLine="0"/>
              <w:jc w:val="lef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 xml:space="preserve">ΧΑΤΖΗΓΙΑΝΝΑΚΗΣ ΜΙΛΤΙΑΔΗΣ </w:t>
            </w:r>
            <w:r w:rsidRPr="00A71D26">
              <w:rPr>
                <w:rFonts w:ascii="Calibri" w:eastAsia="Times New Roman" w:hAnsi="Calibri"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A71D26" w:rsidRPr="00A71D26" w:rsidRDefault="00A71D26" w:rsidP="00A71D26">
            <w:pPr>
              <w:spacing w:afterLines="0" w:line="259" w:lineRule="auto"/>
              <w:ind w:firstLine="0"/>
              <w:jc w:val="center"/>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Αξιόποινη πράξη της παρεμπόδισης αποτροπής κοινού κινδύνου (άρθρα 1, 12, 14, 15, 18, 26, 27, 51, 53, 57, 79, 288 παρ. 1 του Π.Κ.).</w:t>
            </w: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ΝΑΙ</w:t>
            </w: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125</w:t>
            </w:r>
          </w:p>
        </w:tc>
      </w:tr>
      <w:tr w:rsidR="00A71D26" w:rsidRPr="00A71D26" w:rsidTr="00A85FCF">
        <w:trPr>
          <w:trHeight w:val="330"/>
        </w:trPr>
        <w:tc>
          <w:tcPr>
            <w:tcW w:w="2700" w:type="dxa"/>
            <w:vMerge/>
            <w:tcBorders>
              <w:top w:val="nil"/>
              <w:left w:val="nil"/>
              <w:bottom w:val="nil"/>
              <w:right w:val="nil"/>
            </w:tcBorders>
            <w:vAlign w:val="center"/>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OXI</w:t>
            </w: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0</w:t>
            </w:r>
          </w:p>
        </w:tc>
      </w:tr>
      <w:tr w:rsidR="00A71D26" w:rsidRPr="00A71D26" w:rsidTr="00A85FCF">
        <w:trPr>
          <w:trHeight w:val="345"/>
        </w:trPr>
        <w:tc>
          <w:tcPr>
            <w:tcW w:w="2700" w:type="dxa"/>
            <w:vMerge/>
            <w:tcBorders>
              <w:top w:val="nil"/>
              <w:left w:val="nil"/>
              <w:bottom w:val="nil"/>
              <w:right w:val="nil"/>
            </w:tcBorders>
            <w:vAlign w:val="center"/>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ΠΡΝ</w:t>
            </w: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0</w:t>
            </w:r>
          </w:p>
        </w:tc>
      </w:tr>
      <w:tr w:rsidR="00A71D26" w:rsidRPr="00A71D26" w:rsidTr="00A85FCF">
        <w:trPr>
          <w:trHeight w:val="330"/>
        </w:trPr>
        <w:tc>
          <w:tcPr>
            <w:tcW w:w="2700" w:type="dxa"/>
            <w:vMerge/>
            <w:tcBorders>
              <w:top w:val="nil"/>
              <w:left w:val="nil"/>
              <w:bottom w:val="nil"/>
              <w:right w:val="nil"/>
            </w:tcBorders>
            <w:vAlign w:val="center"/>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ΣΥΝ</w:t>
            </w: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125</w:t>
            </w:r>
          </w:p>
        </w:tc>
      </w:tr>
      <w:tr w:rsidR="00A71D26" w:rsidRPr="00A71D26" w:rsidTr="00A85FCF">
        <w:trPr>
          <w:trHeight w:val="36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right"/>
              <w:rPr>
                <w:rFonts w:ascii="Calibri" w:eastAsia="Times New Roman" w:hAnsi="Calibri" w:cs="Calibri"/>
                <w:color w:val="000000"/>
                <w:sz w:val="24"/>
                <w:szCs w:val="24"/>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Times New Roman" w:eastAsia="Times New Roman" w:hAnsi="Times New Roman" w:cs="Times New Roman"/>
                <w:sz w:val="20"/>
                <w:szCs w:val="20"/>
                <w:lang w:eastAsia="el-GR"/>
              </w:rPr>
            </w:pPr>
          </w:p>
        </w:tc>
      </w:tr>
      <w:tr w:rsidR="00A71D26" w:rsidRPr="00A71D26" w:rsidTr="00A85FCF">
        <w:trPr>
          <w:trHeight w:val="45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r w:rsidRPr="00A71D26">
              <w:rPr>
                <w:rFonts w:ascii="Calibri" w:eastAsia="Times New Roman" w:hAnsi="Calibri" w:cs="Calibri"/>
                <w:color w:val="000000"/>
                <w:sz w:val="24"/>
                <w:szCs w:val="24"/>
                <w:lang w:eastAsia="el-GR"/>
              </w:rPr>
              <w:t>Ο Πρόεδρος</w:t>
            </w: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left"/>
              <w:rPr>
                <w:rFonts w:ascii="Calibri" w:eastAsia="Times New Roman" w:hAnsi="Calibri" w:cs="Calibri"/>
                <w:color w:val="000000"/>
                <w:sz w:val="24"/>
                <w:szCs w:val="24"/>
                <w:lang w:eastAsia="el-GR"/>
              </w:rPr>
            </w:pP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Times New Roman" w:eastAsia="Times New Roman" w:hAnsi="Times New Roman" w:cs="Times New Roman"/>
                <w:sz w:val="20"/>
                <w:szCs w:val="20"/>
                <w:lang w:eastAsia="el-GR"/>
              </w:rPr>
            </w:pPr>
          </w:p>
        </w:tc>
      </w:tr>
      <w:tr w:rsidR="00A71D26" w:rsidRPr="00A71D26" w:rsidTr="00A85FCF">
        <w:trPr>
          <w:trHeight w:val="33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Times New Roman" w:eastAsia="Times New Roman" w:hAnsi="Times New Roman" w:cs="Times New Roman"/>
                <w:sz w:val="20"/>
                <w:szCs w:val="20"/>
                <w:lang w:eastAsia="el-GR"/>
              </w:rPr>
            </w:pPr>
          </w:p>
        </w:tc>
      </w:tr>
      <w:tr w:rsidR="00A71D26" w:rsidRPr="00A71D26" w:rsidTr="00A85FCF">
        <w:trPr>
          <w:trHeight w:val="30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Times New Roman" w:eastAsia="Times New Roman" w:hAnsi="Times New Roman" w:cs="Times New Roman"/>
                <w:sz w:val="20"/>
                <w:szCs w:val="20"/>
                <w:lang w:eastAsia="el-GR"/>
              </w:rPr>
            </w:pPr>
          </w:p>
        </w:tc>
      </w:tr>
      <w:tr w:rsidR="00A71D26" w:rsidRPr="00A71D26" w:rsidTr="00A85FCF">
        <w:trPr>
          <w:trHeight w:val="30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Times New Roman" w:eastAsia="Times New Roman" w:hAnsi="Times New Roman" w:cs="Times New Roman"/>
                <w:sz w:val="20"/>
                <w:szCs w:val="20"/>
                <w:lang w:eastAsia="el-GR"/>
              </w:rPr>
            </w:pPr>
          </w:p>
        </w:tc>
      </w:tr>
      <w:tr w:rsidR="00A71D26" w:rsidRPr="00A71D26" w:rsidTr="00A85FCF">
        <w:trPr>
          <w:trHeight w:val="30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Times New Roman" w:eastAsia="Times New Roman" w:hAnsi="Times New Roman" w:cs="Times New Roman"/>
                <w:sz w:val="20"/>
                <w:szCs w:val="20"/>
                <w:lang w:eastAsia="el-GR"/>
              </w:rPr>
            </w:pPr>
          </w:p>
        </w:tc>
      </w:tr>
      <w:tr w:rsidR="00A71D26" w:rsidRPr="00A71D26" w:rsidTr="00A85FCF">
        <w:trPr>
          <w:trHeight w:val="30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Times New Roman" w:eastAsia="Times New Roman" w:hAnsi="Times New Roman" w:cs="Times New Roman"/>
                <w:sz w:val="20"/>
                <w:szCs w:val="20"/>
                <w:lang w:eastAsia="el-GR"/>
              </w:rPr>
            </w:pPr>
          </w:p>
        </w:tc>
      </w:tr>
      <w:tr w:rsidR="00A71D26" w:rsidRPr="00A71D26" w:rsidTr="00A85FCF">
        <w:trPr>
          <w:trHeight w:val="30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Times New Roman" w:eastAsia="Times New Roman" w:hAnsi="Times New Roman" w:cs="Times New Roman"/>
                <w:sz w:val="20"/>
                <w:szCs w:val="20"/>
                <w:lang w:eastAsia="el-GR"/>
              </w:rPr>
            </w:pPr>
          </w:p>
        </w:tc>
      </w:tr>
      <w:tr w:rsidR="00A71D26" w:rsidRPr="00A71D26" w:rsidTr="00A85FCF">
        <w:trPr>
          <w:trHeight w:val="30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Times New Roman" w:eastAsia="Times New Roman" w:hAnsi="Times New Roman" w:cs="Times New Roman"/>
                <w:sz w:val="20"/>
                <w:szCs w:val="20"/>
                <w:lang w:eastAsia="el-GR"/>
              </w:rPr>
            </w:pPr>
          </w:p>
        </w:tc>
      </w:tr>
      <w:tr w:rsidR="00A71D26" w:rsidRPr="00A71D26" w:rsidTr="00A85FCF">
        <w:trPr>
          <w:trHeight w:val="30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Times New Roman" w:eastAsia="Times New Roman" w:hAnsi="Times New Roman" w:cs="Times New Roman"/>
                <w:sz w:val="20"/>
                <w:szCs w:val="20"/>
                <w:lang w:eastAsia="el-GR"/>
              </w:rPr>
            </w:pPr>
          </w:p>
        </w:tc>
      </w:tr>
      <w:tr w:rsidR="00A71D26" w:rsidRPr="00A71D26" w:rsidTr="00A85FCF">
        <w:trPr>
          <w:trHeight w:val="30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Times New Roman" w:eastAsia="Times New Roman" w:hAnsi="Times New Roman" w:cs="Times New Roman"/>
                <w:sz w:val="20"/>
                <w:szCs w:val="20"/>
                <w:lang w:eastAsia="el-GR"/>
              </w:rPr>
            </w:pPr>
          </w:p>
        </w:tc>
      </w:tr>
      <w:tr w:rsidR="00A71D26" w:rsidRPr="00A71D26" w:rsidTr="00A85FCF">
        <w:trPr>
          <w:trHeight w:val="30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Times New Roman" w:eastAsia="Times New Roman" w:hAnsi="Times New Roman" w:cs="Times New Roman"/>
                <w:sz w:val="20"/>
                <w:szCs w:val="20"/>
                <w:lang w:eastAsia="el-GR"/>
              </w:rPr>
            </w:pPr>
          </w:p>
        </w:tc>
      </w:tr>
      <w:tr w:rsidR="00A71D26" w:rsidRPr="00A71D26" w:rsidTr="00A85FCF">
        <w:trPr>
          <w:trHeight w:val="300"/>
        </w:trPr>
        <w:tc>
          <w:tcPr>
            <w:tcW w:w="270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hideMark/>
          </w:tcPr>
          <w:p w:rsidR="00A71D26" w:rsidRPr="00A71D26" w:rsidRDefault="00A71D26" w:rsidP="00A71D26">
            <w:pPr>
              <w:spacing w:afterLines="0" w:line="259" w:lineRule="auto"/>
              <w:ind w:firstLine="0"/>
              <w:jc w:val="right"/>
              <w:rPr>
                <w:rFonts w:ascii="Times New Roman" w:eastAsia="Times New Roman" w:hAnsi="Times New Roman" w:cs="Times New Roman"/>
                <w:sz w:val="20"/>
                <w:szCs w:val="20"/>
                <w:lang w:eastAsia="el-GR"/>
              </w:rPr>
            </w:pPr>
          </w:p>
        </w:tc>
      </w:tr>
    </w:tbl>
    <w:p w:rsidR="00A71D26" w:rsidRPr="00A71D26" w:rsidRDefault="00A71D26" w:rsidP="00A71D26">
      <w:pPr>
        <w:spacing w:afterLines="0"/>
        <w:ind w:firstLine="0"/>
        <w:contextualSpacing/>
        <w:rPr>
          <w:rFonts w:ascii="Arial" w:eastAsia="Times New Roman" w:hAnsi="Arial" w:cs="Times New Roman"/>
          <w:sz w:val="24"/>
          <w:szCs w:val="24"/>
          <w:lang w:eastAsia="el-GR"/>
        </w:rPr>
      </w:pPr>
    </w:p>
    <w:p w:rsidR="00A71D26" w:rsidRPr="00A71D26" w:rsidRDefault="00A71D26" w:rsidP="00A71D26">
      <w:pPr>
        <w:spacing w:afterLines="0" w:line="259" w:lineRule="auto"/>
        <w:ind w:firstLine="0"/>
        <w:jc w:val="left"/>
        <w:rPr>
          <w:rFonts w:ascii="Arial" w:eastAsia="Times New Roman" w:hAnsi="Arial" w:cs="Times New Roman"/>
          <w:sz w:val="24"/>
          <w:szCs w:val="24"/>
          <w:lang w:eastAsia="el-GR"/>
        </w:rPr>
      </w:pPr>
      <w:r w:rsidRPr="00A71D26">
        <w:rPr>
          <w:rFonts w:ascii="Arial" w:eastAsia="Times New Roman" w:hAnsi="Arial" w:cs="Times New Roman"/>
          <w:sz w:val="24"/>
          <w:szCs w:val="24"/>
          <w:lang w:eastAsia="el-GR"/>
        </w:rPr>
        <w:br w:type="page"/>
      </w:r>
    </w:p>
    <w:p w:rsidR="00A71D26" w:rsidRPr="00A71D26" w:rsidRDefault="00A71D26" w:rsidP="00A71D26">
      <w:pPr>
        <w:spacing w:afterLines="0"/>
        <w:ind w:firstLine="0"/>
        <w:contextualSpacing/>
        <w:rPr>
          <w:rFonts w:ascii="Arial" w:eastAsia="Times New Roman" w:hAnsi="Arial" w:cs="Times New Roman"/>
          <w:sz w:val="24"/>
          <w:szCs w:val="24"/>
          <w:lang w:eastAsia="el-GR"/>
        </w:rPr>
      </w:pPr>
      <w:r w:rsidRPr="00A71D26">
        <w:rPr>
          <w:rFonts w:ascii="Arial" w:eastAsia="Times New Roman" w:hAnsi="Arial" w:cs="Arial"/>
          <w:b/>
          <w:bCs/>
          <w:sz w:val="24"/>
          <w:szCs w:val="24"/>
          <w:shd w:val="clear" w:color="auto" w:fill="FFFFFF"/>
          <w:lang w:eastAsia="zh-CN"/>
        </w:rPr>
        <w:lastRenderedPageBreak/>
        <w:t xml:space="preserve">ΠΡΟΕΔΡΕΥΩΝ (Χαράλαμπος Αθανασίου): </w:t>
      </w:r>
      <w:r w:rsidRPr="00A71D26">
        <w:rPr>
          <w:rFonts w:ascii="Arial" w:eastAsia="Times New Roman" w:hAnsi="Arial" w:cs="Times New Roman"/>
          <w:sz w:val="24"/>
          <w:szCs w:val="24"/>
          <w:lang w:eastAsia="el-GR"/>
        </w:rPr>
        <w:t>Κύριοι συνάδελφοι, δέχεστε στο σημείο αυτό να λύσουμε τη συνεδρίαση;</w:t>
      </w:r>
    </w:p>
    <w:p w:rsidR="00A71D26" w:rsidRPr="00A71D26" w:rsidRDefault="00A71D26" w:rsidP="00A71D26">
      <w:pPr>
        <w:spacing w:afterLines="0"/>
        <w:ind w:firstLine="0"/>
        <w:contextualSpacing/>
        <w:rPr>
          <w:rFonts w:ascii="Arial" w:eastAsia="Times New Roman" w:hAnsi="Arial" w:cs="Times New Roman"/>
          <w:sz w:val="24"/>
          <w:szCs w:val="24"/>
          <w:lang w:eastAsia="el-GR"/>
        </w:rPr>
      </w:pPr>
      <w:r w:rsidRPr="00A71D26">
        <w:rPr>
          <w:rFonts w:ascii="Arial" w:eastAsia="Times New Roman" w:hAnsi="Arial" w:cs="Times New Roman"/>
          <w:b/>
          <w:sz w:val="24"/>
          <w:szCs w:val="24"/>
          <w:lang w:eastAsia="el-GR"/>
        </w:rPr>
        <w:t>ΟΛΟΙ ΟΙ ΒΟΥΛΕΥΤΕΣ:</w:t>
      </w:r>
      <w:r w:rsidRPr="00A71D26">
        <w:rPr>
          <w:rFonts w:ascii="Arial" w:eastAsia="Times New Roman" w:hAnsi="Arial" w:cs="Times New Roman"/>
          <w:sz w:val="24"/>
          <w:szCs w:val="24"/>
          <w:lang w:eastAsia="el-GR"/>
        </w:rPr>
        <w:t xml:space="preserve"> Μάλιστα, μάλιστα.</w:t>
      </w:r>
    </w:p>
    <w:p w:rsidR="00A71D26" w:rsidRPr="00A71D26" w:rsidRDefault="00A71D26" w:rsidP="00A71D26">
      <w:pPr>
        <w:spacing w:afterLines="0"/>
        <w:ind w:firstLine="0"/>
        <w:contextualSpacing/>
        <w:rPr>
          <w:rFonts w:ascii="Arial" w:eastAsia="Times New Roman" w:hAnsi="Arial" w:cs="Times New Roman"/>
          <w:sz w:val="24"/>
          <w:szCs w:val="24"/>
          <w:lang w:eastAsia="el-GR"/>
        </w:rPr>
      </w:pPr>
      <w:r w:rsidRPr="00A71D26">
        <w:rPr>
          <w:rFonts w:ascii="Arial" w:eastAsia="Times New Roman" w:hAnsi="Arial" w:cs="Arial"/>
          <w:b/>
          <w:bCs/>
          <w:sz w:val="24"/>
          <w:szCs w:val="24"/>
          <w:shd w:val="clear" w:color="auto" w:fill="FFFFFF"/>
          <w:lang w:eastAsia="zh-CN"/>
        </w:rPr>
        <w:t xml:space="preserve">ΠΡΟΕΔΡΕΥΩΝ (Χαράλαμπος Αθανασίου): </w:t>
      </w:r>
      <w:r w:rsidRPr="00A71D26">
        <w:rPr>
          <w:rFonts w:ascii="Arial" w:eastAsia="Times New Roman" w:hAnsi="Arial" w:cs="Times New Roman"/>
          <w:sz w:val="24"/>
          <w:szCs w:val="24"/>
          <w:lang w:eastAsia="el-GR"/>
        </w:rPr>
        <w:t>Με τη συναίνεση του Σώματος και ώρα 12.46’ λύεται η συνεδρίαση για αύριο, Παρασκευή 18 Ιουνίου 2020 και ώρα 10.00΄ με αντικείμενο εργασιών του Σώματος α) νομοθετική εργασία, πρώτον, μόνη συζήτηση και ψήφιση επί της αρχής, των άρθρων και του συνόλου του σχεδίου νόμου του Υπουργείου Εργασίας και Κοινωνικών Υποθέσεων: «Κύρωση της Συμφωνίας Κοινωνικής Ασφάλισης μεταξύ της Ελληνικής Δημοκρατίας και της Αραβικής Δημοκρατίας της Αιγύπτου και του Διοικητικού Κανονισμού εφαρμογής της» και δεύτερον, μόνη συζήτηση και ψήφιση επί της αρχής, των άρθρων και του συνόλου του σχεδίου νόμου του Υπουργείου Ναυτιλίας και Νησιωτικής Πολιτικής: «Κύρωση της Συμφωνίας μεταξύ της Κυβερνήσεως της Ελληνικής Δημοκρατίας και του Βασιλείου του Μαρόκου για τις Θαλάσσιες Μεταφορές».</w:t>
      </w:r>
    </w:p>
    <w:p w:rsidR="00A71D26" w:rsidRPr="00A71D26" w:rsidRDefault="00A71D26" w:rsidP="00A71D26">
      <w:pPr>
        <w:spacing w:afterLines="0"/>
        <w:ind w:firstLine="0"/>
        <w:contextualSpacing/>
        <w:rPr>
          <w:rFonts w:ascii="Arial" w:eastAsia="Times New Roman" w:hAnsi="Arial" w:cs="Times New Roman"/>
          <w:b/>
          <w:sz w:val="24"/>
          <w:szCs w:val="24"/>
          <w:lang w:eastAsia="el-GR"/>
        </w:rPr>
      </w:pPr>
      <w:r w:rsidRPr="00A71D26">
        <w:rPr>
          <w:rFonts w:ascii="Arial" w:eastAsia="Times New Roman" w:hAnsi="Arial" w:cs="Times New Roman"/>
          <w:b/>
          <w:sz w:val="24"/>
          <w:szCs w:val="24"/>
          <w:lang w:eastAsia="el-GR"/>
        </w:rPr>
        <w:t>O ΠΡΟΕΔΡΟΣ                                                        ΟΙ ΓΡΑΜΜΑΤΕΙΣ</w:t>
      </w:r>
    </w:p>
    <w:p w:rsidR="00A71D26" w:rsidRPr="00A71D26" w:rsidRDefault="00A71D26" w:rsidP="00A71D26">
      <w:pPr>
        <w:spacing w:afterLines="0"/>
        <w:ind w:firstLine="0"/>
        <w:contextualSpacing/>
        <w:rPr>
          <w:rFonts w:ascii="Arial" w:eastAsia="Times New Roman" w:hAnsi="Arial" w:cs="Times New Roman"/>
          <w:sz w:val="24"/>
          <w:szCs w:val="24"/>
          <w:lang w:eastAsia="el-GR"/>
        </w:rPr>
      </w:pPr>
    </w:p>
    <w:p w:rsidR="00D5258A" w:rsidRDefault="00D5258A" w:rsidP="00A71D26">
      <w:pPr>
        <w:spacing w:after="384"/>
        <w:ind w:firstLine="680"/>
      </w:pPr>
    </w:p>
    <w:sectPr w:rsidR="00D5258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26"/>
    <w:rsid w:val="00A71D26"/>
    <w:rsid w:val="00D525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3C652-8B60-4C10-9FD6-8D449E27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Lines="160" w:after="160" w:line="600" w:lineRule="auto"/>
        <w:ind w:firstLine="182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A71D26"/>
  </w:style>
  <w:style w:type="paragraph" w:styleId="a3">
    <w:name w:val="Balloon Text"/>
    <w:basedOn w:val="a"/>
    <w:link w:val="Char"/>
    <w:uiPriority w:val="99"/>
    <w:semiHidden/>
    <w:unhideWhenUsed/>
    <w:rsid w:val="00A71D26"/>
    <w:pPr>
      <w:spacing w:afterLines="0" w:after="0"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A71D26"/>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3530</Words>
  <Characters>19068</Characters>
  <Application>Microsoft Office Word</Application>
  <DocSecurity>0</DocSecurity>
  <Lines>158</Lines>
  <Paragraphs>45</Paragraphs>
  <ScaleCrop>false</ScaleCrop>
  <Company>Hellenic Parliament BTE</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1</cp:revision>
  <dcterms:created xsi:type="dcterms:W3CDTF">2020-06-24T06:22:00Z</dcterms:created>
  <dcterms:modified xsi:type="dcterms:W3CDTF">2020-06-24T06:26:00Z</dcterms:modified>
</cp:coreProperties>
</file>