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0" w:after="0" w:line="20" w:lineRule="exact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5915025</wp:posOffset>
            </wp:positionH>
            <wp:positionV relativeFrom="page">
              <wp:posOffset>0</wp:posOffset>
            </wp:positionV>
            <wp:extent cx="1862667" cy="1047750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667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>
      <w:pPr>
        <w:spacing w:after="40" w:before="360"/>
      </w:pPr>
      <w:r>
        <w:rPr>
          <w:rFonts w:ascii="Calibri" w:hAnsi="Calibri"/>
          <w:b/>
          <w:i w:val="0"/>
          <w:color w:val="70AE35"/>
          <w:sz w:val="24"/>
        </w:rPr>
        <w:t>TECHNICAL SOLUTION DESIGN</w:t>
      </w:r>
    </w:p>
    <w:p>
      <w:pPr>
        <w:pStyle w:val="Title"/>
        <w:spacing w:after="120" w:before="0"/>
      </w:pPr>
      <w:r>
        <w:t>Salesforce DevOps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333F48"/>
          <w:sz w:val="26"/>
        </w:rPr>
        <w:t>A Claude plugin for capturing, promoting, and tracking Salesforce changes across client orgs with a clean Bitbucket version history.</w:t>
      </w:r>
    </w:p>
    <w:p>
      <w:pPr>
        <w:spacing w:after="280" w:before="0"/>
      </w:pPr>
      <w:r>
        <w:rPr>
          <w:rFonts w:ascii="Calibri" w:hAnsi="Calibri"/>
          <w:b w:val="0"/>
          <w:i w:val="0"/>
          <w:color w:val="6B7682"/>
          <w:sz w:val="21"/>
        </w:rPr>
        <w:t>Author: John Pipkin   ·   Date: 10/22/2026   ·   Status: Pilot (working end to end)</w:t>
      </w:r>
    </w:p>
    <w:p>
      <w:pPr>
        <w:pStyle w:val="Heading2"/>
        <w:spacing w:after="120" w:before="0"/>
      </w:pPr>
      <w:r>
        <w:t>Contents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1.  Overview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2.  Goals and Non-Goals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3.  Architecture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4.  Data Model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5.  Branching Model and pipeline.yml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6.  Change Detection and Capture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7.  Review and Selection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8.  Dependency Handling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9.  Destructive and Mixed Deployments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10. Authentication and Secret Management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11. Distribution and Installation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12. Security Considerations</w:t>
      </w:r>
    </w:p>
    <w:p>
      <w:pPr>
        <w:spacing w:after="40"/>
        <w:ind w:left="216"/>
      </w:pPr>
      <w:r>
        <w:rPr>
          <w:rFonts w:ascii="Calibri" w:hAnsi="Calibri"/>
          <w:b w:val="0"/>
          <w:i w:val="0"/>
          <w:color w:val="333F48"/>
          <w:sz w:val="22"/>
        </w:rPr>
        <w:t>13. Rollout and Open Items</w:t>
      </w:r>
    </w:p>
    <w:p>
      <w:r>
        <w:br w:type="page"/>
      </w:r>
    </w:p>
    <w:p>
      <w:pPr>
        <w:pStyle w:val="Heading1"/>
        <w:spacing w:after="120" w:before="0"/>
      </w:pPr>
      <w:r>
        <w:t>1. Overview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OpFocus manages many client Salesforce orgs. Salesforce is steering customers toward version control and CI/CD, but its native tooling realistically requires a senior developer, and change sets — the default promotion path for admins — are slow, manual, and overwrite silently. The result: good DevOps never reaches most of the team.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This solution is a Claude plugin that lets every consultant — admins and developers alike — promote changes and keep a clean Bitbucket history, replacing change sets, without learning git or pre-installing specialized tooling. The consultant speaks in plain environment terms (“promote my changes from Dev to Stage”); Claude translates that into the correct git and Salesforce CLI operations under OpFocus guardrails. OpFocus’s own production org serves as the shared database that records every deployment.</w:t>
      </w:r>
    </w:p>
    <w:p>
      <w:pPr>
        <w:pStyle w:val="Heading2"/>
        <w:spacing w:after="120" w:before="0"/>
      </w:pPr>
      <w:r>
        <w:t>Why a plugin, not a desktop app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Every consultant already uses Claude, so distribution and updates are solved. The hard part of Salesforce DevOps is judgment — what to retrieve, what to promote, how to avoid overwrites — which Claude does well and a fixed GUI does not. A plugin applies that judgment under OpFocus guardrails; a cross-platform desktop app would reintroduce build, sign, and update burden for no benefit.</w:t>
      </w:r>
    </w:p>
    <w:p>
      <w:pPr>
        <w:pStyle w:val="Heading1"/>
        <w:spacing w:after="120" w:before="0"/>
      </w:pPr>
      <w:r>
        <w:t>2. Goals and Non-Goals</w:t>
      </w:r>
    </w:p>
    <w:p>
      <w:pPr>
        <w:pStyle w:val="Heading2"/>
        <w:spacing w:after="120" w:before="0"/>
      </w:pPr>
      <w:r>
        <w:t>Goals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Any consultant, including an admin who has never used git, can promote changes and keep a clean VCS.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Replace the change-set workflow end to end: capture, review, promote to the next environment.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Deploy to and from any org a consultant already has access to.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Give every team shared visibility into what was deployed where, when, and by whom.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Require no secret credentials stored on consultant laptops.</w:t>
      </w:r>
    </w:p>
    <w:p>
      <w:pPr>
        <w:pStyle w:val="Heading2"/>
        <w:spacing w:after="120" w:before="0"/>
      </w:pPr>
      <w:r>
        <w:t>Non-Goals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Not a git server or a replacement for Bitbucket — code lives in Bitbucket Cloud.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Not Bitbucket Pipelines / CI automation (future).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Not a centralized store of client-org credentials.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Not a cross-platform desktop application.</w:t>
      </w:r>
    </w:p>
    <w:p>
      <w:pPr>
        <w:pStyle w:val="Heading1"/>
        <w:spacing w:after="120" w:before="0"/>
      </w:pPr>
      <w:r>
        <w:t>3. Architecture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The consultant works entirely through Claude. The plugin orchestrates three systems: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0"/>
          <w:left w:val="single" w:sz="4" w:space="0" w:color="D7DCE0"/>
          <w:bottom w:val="single" w:sz="4" w:space="0" w:color="D7DCE0"/>
          <w:right w:val="single" w:sz="4" w:space="0" w:color="D7DCE0"/>
          <w:insideH w:val="single" w:sz="4" w:space="0" w:color="D7DCE0"/>
          <w:insideV w:val="single" w:sz="4" w:space="0" w:color="D7DCE0"/>
        </w:tblBorders>
      </w:tblPr>
      <w:tblGrid>
        <w:gridCol w:w="4680"/>
        <w:gridCol w:w="4680"/>
      </w:tblGrid>
      <w:tr>
        <w:tc>
          <w:tcPr>
            <w:tcW w:type="dxa" w:w="2736"/>
            <w:shd w:val="clear" w:fill="20242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Component</w:t>
            </w:r>
          </w:p>
        </w:tc>
        <w:tc>
          <w:tcPr>
            <w:tcW w:type="dxa" w:w="6480"/>
            <w:shd w:val="clear" w:fill="20242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Claude plugin (skills)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The orchestration layer. Detects changes, builds the review, applies guardrails, drives git and the Salesforce CLI.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Salesforce CLI (sf)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The deployment engine — retrieve and deploy metadata to/from the client orgs.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Bitbucket Cloud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Per-client repositories: the code and branch history.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OpFocus production org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The shared coordination layer: the deployment audit database and the Bitbucket secret broker.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The separation is deliberate: Bitbucket is the code system of record; the Salesforce org is the coordination and audit layer. No new infrastructure is introduced.</w:t>
      </w:r>
    </w:p>
    <w:p>
      <w:pPr>
        <w:pStyle w:val="Heading1"/>
        <w:spacing w:after="120" w:before="0"/>
      </w:pPr>
      <w:r>
        <w:t>4. Data Model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The backend is four custom objects deployed into the production org. It stores metadata about deployments, not the code itself.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0"/>
          <w:left w:val="single" w:sz="4" w:space="0" w:color="D7DCE0"/>
          <w:bottom w:val="single" w:sz="4" w:space="0" w:color="D7DCE0"/>
          <w:right w:val="single" w:sz="4" w:space="0" w:color="D7DCE0"/>
          <w:insideH w:val="single" w:sz="4" w:space="0" w:color="D7DCE0"/>
          <w:insideV w:val="single" w:sz="4" w:space="0" w:color="D7DCE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20242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Object</w:t>
            </w:r>
          </w:p>
        </w:tc>
        <w:tc>
          <w:tcPr>
            <w:tcW w:type="dxa" w:w="6336"/>
            <w:shd w:val="clear" w:fill="20242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Purpose and key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Client_Repo__c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One per client repository. Bitbucket workspace / slug / URL, default branch, active flag.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Org_Connection__c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Catalog of a client’s orgs and how each maps to a git branch. Org type, alias, id, branch, promotion order, source-tracking flag.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Deployment__c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One per promote. Source/target org, branch, commit SHA, status, test level and results, deployed by/at, PR URL, approval status, notes.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Deployment_Component__c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One per component in a deployment (master-detail). Metadata type, component name, change type, and a plain-English change summary.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>
            <wp:extent cx="2743200" cy="2952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ployment-reco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5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B7682"/>
          <w:sz w:val="18"/>
        </w:rPr>
        <w:t>Figure 1 — A Deployment record: the shared audit trail.</w:t>
      </w:r>
    </w:p>
    <w:p>
      <w:pPr>
        <w:pStyle w:val="Heading1"/>
        <w:spacing w:after="120" w:before="0"/>
      </w:pPr>
      <w:r>
        <w:t>5. Branching Model and pipeline.yml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Each client gets its own repository inside a fixed Bitbucket project. Within a repo the model is environment branches — one branch per org — and the topology varies by client. That variance lives in a per-repo file, .opfocus/pipeline.yml, so the skills read the topology instead of hard-coding it:</w:t>
      </w:r>
    </w:p>
    <w:p>
      <w:pPr>
        <w:spacing w:after="120"/>
        <w:shd w:val="clear" w:fill="F3F3F3"/>
      </w:pPr>
      <w:r>
        <w:rPr>
          <w:rFonts w:ascii="Consolas" w:hAnsi="Consolas"/>
          <w:b w:val="0"/>
          <w:i w:val="0"/>
          <w:color w:val="20242F"/>
          <w:sz w:val="19"/>
        </w:rPr>
        <w:t>client: Acme</w:t>
      </w:r>
    </w:p>
    <w:p>
      <w:pPr>
        <w:spacing w:after="120"/>
        <w:shd w:val="clear" w:fill="F3F3F3"/>
      </w:pPr>
      <w:r>
        <w:rPr>
          <w:rFonts w:ascii="Consolas" w:hAnsi="Consolas"/>
          <w:b w:val="0"/>
          <w:i w:val="0"/>
          <w:color w:val="20242F"/>
          <w:sz w:val="19"/>
        </w:rPr>
        <w:t>environments:</w:t>
      </w:r>
    </w:p>
    <w:p>
      <w:pPr>
        <w:spacing w:after="120"/>
        <w:shd w:val="clear" w:fill="F3F3F3"/>
      </w:pPr>
      <w:r>
        <w:rPr>
          <w:rFonts w:ascii="Consolas" w:hAnsi="Consolas"/>
          <w:b w:val="0"/>
          <w:i w:val="0"/>
          <w:color w:val="20242F"/>
          <w:sz w:val="19"/>
        </w:rPr>
        <w:t xml:space="preserve">  - { name: Dev, branch: dev, org: acme-dev }</w:t>
      </w:r>
    </w:p>
    <w:p>
      <w:pPr>
        <w:spacing w:after="120"/>
        <w:shd w:val="clear" w:fill="F3F3F3"/>
      </w:pPr>
      <w:r>
        <w:rPr>
          <w:rFonts w:ascii="Consolas" w:hAnsi="Consolas"/>
          <w:b w:val="0"/>
          <w:i w:val="0"/>
          <w:color w:val="20242F"/>
          <w:sz w:val="19"/>
        </w:rPr>
        <w:t xml:space="preserve">  - { name: Stage, branch: stage, org: acme-stage, validate_first: true, test_level: RunLocalTests }</w:t>
      </w:r>
    </w:p>
    <w:p>
      <w:pPr>
        <w:spacing w:after="120"/>
        <w:shd w:val="clear" w:fill="F3F3F3"/>
      </w:pPr>
      <w:r>
        <w:rPr>
          <w:rFonts w:ascii="Consolas" w:hAnsi="Consolas"/>
          <w:b w:val="0"/>
          <w:i w:val="0"/>
          <w:color w:val="20242F"/>
          <w:sz w:val="19"/>
        </w:rPr>
        <w:t>promotion_path: [Dev, Stage]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The admin never sees a git term. “I made changes in Acme Dev” becomes a retrieve + commit to the dev branch; “promote to Stage” becomes a deploy of the selected set to the Stage org, a merge, and a recorded deployment.</w:t>
      </w:r>
    </w:p>
    <w:p>
      <w:pPr>
        <w:pStyle w:val="Heading1"/>
        <w:spacing w:after="120" w:before="0"/>
      </w:pPr>
      <w:r>
        <w:t>6. Change Detection and Capture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Capture always begins with source tracking in the client repo — the tool never hand-names components. Source tracking reports exactly what changed in the org since the last sync, replacing the manual change-set component picker.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Scope: the repo’s .forceignore (written at setup from the authoritative installed-package list) excludes managed-package namespaces, static resources, and profiles. Profiles are excluded entirely — impractical in VCS/CI-CD; the tool nudges consultants to permission sets. Namespaces are never guessed from file names, which would collide with the org’s own objects.</w:t>
      </w:r>
    </w:p>
    <w:p>
      <w:pPr>
        <w:pStyle w:val="Heading1"/>
        <w:spacing w:after="120" w:before="0"/>
      </w:pPr>
      <w:r>
        <w:t>7. Review and Selection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Detected changes are presented in a locally served, SLDS-styled review screen, opened automatically in the Claude browser pane. It is a review, not just a checklist: each row shows its change type (Created / Updated / Deleted), who last modified it and when, and a plain-English summary. For updated code, a collapsible chevron reveals the exact red/green line diff; for XML metadata the summary leads. Shared-initiative warnings and destructive deletes are flagged. The consultant selects what to promote; that selection — and only that — is deployed.</w:t>
      </w:r>
    </w:p>
    <w:p>
      <w:pPr>
        <w:spacing w:before="120" w:after="40"/>
        <w:jc w:val="center"/>
      </w:pPr>
      <w:r>
        <w:drawing>
          <wp:inline>
            <wp:extent cx="4937760" cy="5308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view-ui-dif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8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B7682"/>
          <w:sz w:val="18"/>
        </w:rPr>
        <w:t>Figure 2 — The review screen with an Apex diff expanded.</w:t>
      </w:r>
    </w:p>
    <w:p>
      <w:pPr>
        <w:pStyle w:val="Heading1"/>
        <w:spacing w:after="120" w:before="0"/>
      </w:pPr>
      <w:r>
        <w:t>8. Dependency Handling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The tool promotes exactly what the consultant selected. It does not auto-expand the set with whatever the target happens to be missing — a missing component may belong to another, unknown initiative, and pulling it in would promote someone else’s in-progress work.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/>
          <w:i w:val="0"/>
          <w:color w:val="333F48"/>
          <w:sz w:val="22"/>
        </w:rPr>
        <w:t xml:space="preserve">Structural container only. </w:t>
      </w:r>
      <w:r>
        <w:rPr>
          <w:rFonts w:ascii="Calibri" w:hAnsi="Calibri"/>
          <w:b w:val="0"/>
          <w:i w:val="0"/>
          <w:color w:val="333F48"/>
          <w:sz w:val="22"/>
        </w:rPr>
        <w:t>If a selected field, layout, or page belongs to an object not yet in the target, the object’s bare definition is included — it is the container for the work, not another initiative’s component.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/>
          <w:i w:val="0"/>
          <w:color w:val="333F48"/>
          <w:sz w:val="22"/>
        </w:rPr>
        <w:t xml:space="preserve">Everything else is flagged, not added. </w:t>
      </w:r>
      <w:r>
        <w:rPr>
          <w:rFonts w:ascii="Calibri" w:hAnsi="Calibri"/>
          <w:b w:val="0"/>
          <w:i w:val="0"/>
          <w:color w:val="333F48"/>
          <w:sz w:val="22"/>
        </w:rPr>
        <w:t>If a selected component references something neither selected nor in the target, the tool surfaces it for the consultant to decide.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/>
          <w:i w:val="0"/>
          <w:color w:val="333F48"/>
          <w:sz w:val="22"/>
        </w:rPr>
        <w:t xml:space="preserve">No validation loops. </w:t>
      </w:r>
      <w:r>
        <w:rPr>
          <w:rFonts w:ascii="Calibri" w:hAnsi="Calibri"/>
          <w:b w:val="0"/>
          <w:i w:val="0"/>
          <w:color w:val="333F48"/>
          <w:sz w:val="22"/>
        </w:rPr>
        <w:t>A single pre-deploy validation is the backstop; a missing dependency is reported as a decision, never auto-resolved.</w:t>
      </w:r>
    </w:p>
    <w:p>
      <w:pPr>
        <w:pStyle w:val="Heading1"/>
        <w:spacing w:after="120" w:before="0"/>
      </w:pPr>
      <w:r>
        <w:t>9. Destructive and Mixed Deployments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A component deleted in the source becomes a destructive change on the target, handled with more care than anything else: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A delete is never inferred from a missing file — the consultant explicitly confirms each deletion is intended (deletions are unchecked by default in the review).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Executing any destructive change, or deleting a field/object (data loss), requires typing the component’s API name to confirm.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Confirmed deletions go in destructiveChangesPost.xml alongside the additive package.xml; the mixed deploy validates check-only first.</w:t>
      </w:r>
    </w:p>
    <w:p>
      <w:pPr>
        <w:pStyle w:val="Heading1"/>
        <w:spacing w:after="120" w:before="0"/>
      </w:pPr>
      <w:r>
        <w:t>10. Authentication and Secret Management</w:t>
      </w:r>
    </w:p>
    <w:p>
      <w:pPr>
        <w:pStyle w:val="Heading2"/>
        <w:spacing w:after="120" w:before="0"/>
      </w:pPr>
      <w:r>
        <w:t>Org authentication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Each consultant authenticates the client orgs they are entitled to with the Salesforce CLI (sf org login web). Client-org credentials are never centralized.</w:t>
      </w:r>
    </w:p>
    <w:p>
      <w:pPr>
        <w:pStyle w:val="Heading2"/>
        <w:spacing w:after="120" w:before="0"/>
      </w:pPr>
      <w:r>
        <w:t>Bitbucket access — the token broker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Consultants are not Bitbucket workspace members (Atlassian bills per member), so they consume no seats. The tool authenticates to Bitbucket via a single OAuth consumer whose secret is never stored on laptops: it lives only in a Named Credential in the production org (encrypted, non-retrievable). An Apex REST endpoint makes the client-credentials call through that Named Credential and returns only a short-lived token to the authenticated, permissioned consultant.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0"/>
          <w:left w:val="single" w:sz="4" w:space="0" w:color="D7DCE0"/>
          <w:bottom w:val="single" w:sz="4" w:space="0" w:color="D7DCE0"/>
          <w:right w:val="single" w:sz="4" w:space="0" w:color="D7DCE0"/>
          <w:insideH w:val="single" w:sz="4" w:space="0" w:color="D7DCE0"/>
          <w:insideV w:val="single" w:sz="4" w:space="0" w:color="D7DCE0"/>
        </w:tblBorders>
      </w:tblPr>
      <w:tblGrid>
        <w:gridCol w:w="4680"/>
        <w:gridCol w:w="4680"/>
      </w:tblGrid>
      <w:tr>
        <w:tc>
          <w:tcPr>
            <w:tcW w:type="dxa" w:w="3024"/>
            <w:shd w:val="clear" w:fill="20242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Property</w:t>
            </w:r>
          </w:p>
        </w:tc>
        <w:tc>
          <w:tcPr>
            <w:tcW w:type="dxa" w:w="6192"/>
            <w:shd w:val="clear" w:fill="20242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No secret on laptops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Only disposable ~2-hour tokens are vended.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One-step offboarding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Deactivate the Salesforce user — token access ends immediately.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Central rotation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 w:val="0"/>
                <w:color w:val="333F48"/>
                <w:sz w:val="20"/>
              </w:rPr>
              <w:t>Swap the secret once in the Named Credential; every consultant keeps working.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>
            <wp:extent cx="4572000" cy="4920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amed-credenti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2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B7682"/>
          <w:sz w:val="18"/>
        </w:rPr>
        <w:t>Figure 3 — The token-broker Named Credential in Setup.</w:t>
      </w:r>
    </w:p>
    <w:p>
      <w:pPr>
        <w:pStyle w:val="Heading1"/>
        <w:spacing w:after="120" w:before="0"/>
      </w:pPr>
      <w:r>
        <w:t>11. Distribution and Installation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The plugin is distributed from a public GitHub repository via a marketplace manifest. It holds no secrets (the Bitbucket OAuth secret lives only in the prod-org Named Credential), so consultants need no repository account and nothing to authenticate. In the Claude desktop app, a consultant clicks + → Add plugins, pastes the marketplace URL, and installs opfocus-devops. The terminal / VS Code equivalent, run once in a Claude Code session, is:</w:t>
      </w:r>
    </w:p>
    <w:p>
      <w:pPr>
        <w:spacing w:after="120"/>
        <w:shd w:val="clear" w:fill="F3F3F3"/>
      </w:pPr>
      <w:r>
        <w:rPr>
          <w:rFonts w:ascii="Consolas" w:hAnsi="Consolas"/>
          <w:b w:val="0"/>
          <w:i w:val="0"/>
          <w:color w:val="20242F"/>
          <w:sz w:val="19"/>
        </w:rPr>
        <w:t>/plugin marketplace add https://github.com/john-pipkin-opfocus/opfocus-devops.git</w:t>
      </w:r>
    </w:p>
    <w:p>
      <w:pPr>
        <w:spacing w:after="120"/>
        <w:shd w:val="clear" w:fill="F3F3F3"/>
      </w:pPr>
      <w:r>
        <w:rPr>
          <w:rFonts w:ascii="Consolas" w:hAnsi="Consolas"/>
          <w:b w:val="0"/>
          <w:i w:val="0"/>
          <w:color w:val="20242F"/>
          <w:sz w:val="19"/>
        </w:rPr>
        <w:t>/plugin install opfocus-devops@opfocus-marketplace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F48"/>
          <w:sz w:val="22"/>
        </w:rPr>
        <w:t>The three skills — setup-backend, setup-client-repo, and capture-and-promote — then become invokable. Active development lives in the private Bitbucket repository; GitHub is the public distribution mirror. Access to the private client code repositories is handled separately, at runtime, by the token broker — never by a per-consultant credential. (Plugins do not load in cloud sessions or under WSL; consultants use a local desktop-app, terminal, or VS Code session.)</w:t>
      </w:r>
    </w:p>
    <w:p>
      <w:pPr>
        <w:pStyle w:val="Heading1"/>
        <w:spacing w:after="120" w:before="0"/>
      </w:pPr>
      <w:r>
        <w:t>12. Security Considerations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The Bitbucket OAuth secret is held only in the prod-org Named Credential, never in git, a config file, or a laptop.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The token-vendor Apex endpoint is gated by the OpFocus_DevOps_User permission set.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Commit attribution uses each consultant’s git identity; the Deployment record also logs who ran each promote.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Deletions require typed confirmation; destructive changes to production additionally respect an approval gate.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The OAuth consumer is workspace-wide write — contained by storing it only in the prod org and rotating it on a schedule.</w:t>
      </w:r>
    </w:p>
    <w:p>
      <w:pPr>
        <w:pStyle w:val="Heading1"/>
        <w:spacing w:after="120" w:before="0"/>
      </w:pPr>
      <w:r>
        <w:t>13. Rollout and Open Items</w:t>
      </w:r>
    </w:p>
    <w:p>
      <w:pPr>
        <w:pStyle w:val="Heading2"/>
        <w:spacing w:after="120" w:before="0"/>
      </w:pPr>
      <w:r>
        <w:t>Working today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Plugin packaged and installable from the public GitHub marketplace.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Backend data model, permission set, and token broker deployed to the DevOps sandbox and verified.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Source-tracking capture and the review UI.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A validated dev → stage promote (46-component closure, zero errors).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Token broker proven end to end — no secret on the laptop.</w:t>
      </w:r>
    </w:p>
    <w:p>
      <w:pPr>
        <w:pStyle w:val="Heading2"/>
        <w:spacing w:after="120" w:before="0"/>
      </w:pPr>
      <w:r>
        <w:t>Next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Deploy the backend + broker to the OpFocus production org and enter the credential there.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Onboard a pilot client repository and run a real dev → stage deploy.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Install for a first group of consultants and widen the rollout.</w:t>
      </w:r>
    </w:p>
    <w:p>
      <w:pPr>
        <w:spacing w:after="80"/>
        <w:ind w:left="432" w:hanging="259"/>
      </w:pPr>
      <w:r>
        <w:rPr>
          <w:color w:val="418FDE"/>
          <w:sz w:val="22"/>
        </w:rPr>
        <w:t>•</w:t>
        <w:tab/>
      </w:r>
      <w:r>
        <w:rPr>
          <w:rFonts w:ascii="Calibri" w:hAnsi="Calibri"/>
          <w:b w:val="0"/>
          <w:i w:val="0"/>
          <w:color w:val="333F48"/>
          <w:sz w:val="22"/>
        </w:rPr>
        <w:t>Future: Bitbucket Pipelines for CI validation; modern External Credential model.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ageBreakBefore w:val="0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Project Call Agenda &amp; Notes for CLIENT NAME - DATE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©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2020 OpFocus, Inc. | Proprietary and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ageBreakBefore w:val="0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©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2023 OpFocus, Inc. | Proprietary and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ageBreakBefore w:val="0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5915025</wp:posOffset>
          </wp:positionH>
          <wp:positionV relativeFrom="page">
            <wp:posOffset>0</wp:posOffset>
          </wp:positionV>
          <wp:extent cx="1862667" cy="1047750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667" cy="1047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-457199</wp:posOffset>
          </wp:positionV>
          <wp:extent cx="7777163" cy="1046926"/>
          <wp:effectExtent b="0" l="0" r="0" t="0"/>
          <wp:wrapTopAndBottom distB="0" dist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7163" cy="104692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ageBreakBefore w:val="0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7786688" cy="1043577"/>
          <wp:effectExtent b="0" l="0" r="0" t="0"/>
          <wp:wrapTopAndBottom distB="0" dist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4357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color w:val="418fd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  <w:color w:val="333f48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color w:val="919d9d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color w:val="666666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1" Type="http://schemas.openxmlformats.org/officeDocument/2006/relationships/image" Target="media/image2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