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1B14E" w14:textId="18464EA4" w:rsidR="00AA42C2" w:rsidRDefault="00AA42C2" w:rsidP="00AA42C2">
      <w:pPr>
        <w:pStyle w:val="Title"/>
      </w:pPr>
      <w:r>
        <w:t xml:space="preserve">Objective--Stop the Malware </w:t>
      </w:r>
      <w:r w:rsidRPr="00680AF2">
        <w:rPr>
          <w:sz w:val="44"/>
        </w:rPr>
        <w:t xml:space="preserve">(Part </w:t>
      </w:r>
      <w:r w:rsidR="003C1A5A">
        <w:rPr>
          <w:sz w:val="44"/>
        </w:rPr>
        <w:t>2</w:t>
      </w:r>
      <w:r w:rsidRPr="00680AF2">
        <w:rPr>
          <w:sz w:val="44"/>
        </w:rPr>
        <w:t>)</w:t>
      </w:r>
    </w:p>
    <w:p w14:paraId="321BA4F9" w14:textId="6C02A37B" w:rsidR="00AA42C2" w:rsidRDefault="00AA42C2" w:rsidP="00AA42C2">
      <w:pPr>
        <w:pStyle w:val="Heading1"/>
      </w:pPr>
      <w:r>
        <w:t>Solution</w:t>
      </w:r>
    </w:p>
    <w:p w14:paraId="53A4CB37" w14:textId="77777777" w:rsidR="005F029C" w:rsidRDefault="00AA42C2">
      <w:r>
        <w:t xml:space="preserve">The </w:t>
      </w:r>
      <w:proofErr w:type="spellStart"/>
      <w:r>
        <w:t>wannacookie</w:t>
      </w:r>
      <w:proofErr w:type="spellEnd"/>
      <w:r>
        <w:t xml:space="preserve"> function is the main part of the code.  Lines 19</w:t>
      </w:r>
      <w:r w:rsidR="005A2C85">
        <w:t>1</w:t>
      </w:r>
      <w:r>
        <w:t xml:space="preserve"> and 192 are items of interest.  The lines are long, so I’ve taken separate screenshots of the left and right halves.  Both lines end with {return}, so either one could halt execution.</w:t>
      </w:r>
    </w:p>
    <w:p w14:paraId="1E0CBE17" w14:textId="6E41D5D3" w:rsidR="007717AE" w:rsidRDefault="005F029C">
      <w:r>
        <w:t>Left half</w:t>
      </w:r>
      <w:r w:rsidR="00AA42C2">
        <w:br/>
      </w:r>
      <w:r w:rsidR="00AA42C2">
        <w:rPr>
          <w:noProof/>
        </w:rPr>
        <w:drawing>
          <wp:inline distT="0" distB="0" distL="0" distR="0" wp14:anchorId="479741A6" wp14:editId="5DCD5B5B">
            <wp:extent cx="5305425" cy="711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0960" cy="7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AE33" w14:textId="5DD66C8D" w:rsidR="007717AE" w:rsidRDefault="00AA42C2">
      <w:r>
        <w:rPr>
          <w:noProof/>
        </w:rPr>
        <w:drawing>
          <wp:inline distT="0" distB="0" distL="0" distR="0" wp14:anchorId="061D8DDE" wp14:editId="5CA4C23D">
            <wp:extent cx="5943600" cy="51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41DB" w14:textId="5CE3285F" w:rsidR="005A2C85" w:rsidRDefault="005A2C85" w:rsidP="005A2C85">
      <w:pPr>
        <w:pStyle w:val="Heading1"/>
      </w:pPr>
      <w:r>
        <w:t>Line 192</w:t>
      </w:r>
    </w:p>
    <w:p w14:paraId="10CE049D" w14:textId="491E01BE" w:rsidR="00AA42C2" w:rsidRDefault="00AA42C2">
      <w:r>
        <w:t>Line 192 is simplest</w:t>
      </w:r>
      <w:r w:rsidR="003C1A5A">
        <w:t xml:space="preserve">, so let’s look at that first.  Here the line is in a new ISE tab, and cleaned for readability.  The </w:t>
      </w:r>
      <w:hyperlink r:id="rId6" w:history="1">
        <w:r w:rsidR="003C1A5A" w:rsidRPr="003C1A5A">
          <w:rPr>
            <w:rStyle w:val="Hyperlink"/>
          </w:rPr>
          <w:t>PowerShell line continuation character</w:t>
        </w:r>
      </w:hyperlink>
      <w:r w:rsidR="003C1A5A">
        <w:t xml:space="preserve"> is a backtick, “`”, which I used at the end of line </w:t>
      </w:r>
      <w:r w:rsidR="005F029C">
        <w:t>two</w:t>
      </w:r>
      <w:r w:rsidR="003C1A5A">
        <w:t>.  Other languages often use “\” instead.</w:t>
      </w:r>
      <w:r w:rsidR="003C1A5A">
        <w:br/>
      </w:r>
      <w:r w:rsidR="003C1A5A">
        <w:rPr>
          <w:noProof/>
        </w:rPr>
        <w:drawing>
          <wp:inline distT="0" distB="0" distL="0" distR="0" wp14:anchorId="381BD350" wp14:editId="1A3A7DCA">
            <wp:extent cx="4905375" cy="75916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888" cy="77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4D15" w14:textId="4D37F154" w:rsidR="003C1A5A" w:rsidRDefault="003C1A5A">
      <w:r>
        <w:t>If netstat finds that localhost port 8080 is listening, it terminates execution.</w:t>
      </w:r>
      <w:r w:rsidR="004B6870">
        <w:t xml:space="preserve">  Often malware checks to see if it has already infected the computer, but it is not clear at this point if checking for port 8080 does that.</w:t>
      </w:r>
    </w:p>
    <w:p w14:paraId="7631F303" w14:textId="05D2687C" w:rsidR="004B6870" w:rsidRDefault="004B6870">
      <w:r>
        <w:t>The malware also checks the domain the computer is joined to.  Execution terminates unless the domain is KRINGLECASTLE.  This malware is targeted against Santa’s domain and no one else.</w:t>
      </w:r>
    </w:p>
    <w:p w14:paraId="73FF055B" w14:textId="1EE695EA" w:rsidR="004B6870" w:rsidRDefault="004B6870">
      <w:r>
        <w:t>If we want to run the entire malware script at some point, we will need to comment line 192 to prevent the script from terminating early.</w:t>
      </w:r>
    </w:p>
    <w:p w14:paraId="456D7B82" w14:textId="42D32650" w:rsidR="005A2C85" w:rsidRDefault="005A2C85" w:rsidP="005A2C85">
      <w:pPr>
        <w:pStyle w:val="Heading1"/>
      </w:pPr>
      <w:r>
        <w:t>Line 191</w:t>
      </w:r>
    </w:p>
    <w:p w14:paraId="2F9CD9D4" w14:textId="37AB65CF" w:rsidR="003C1A5A" w:rsidRDefault="004B6870">
      <w:r>
        <w:t>The next line to examine is line 191.  Here, the line is cleaned for readability and the $S1 variable it uses is included.</w:t>
      </w:r>
      <w:r>
        <w:br/>
      </w:r>
      <w:r>
        <w:rPr>
          <w:noProof/>
        </w:rPr>
        <w:drawing>
          <wp:inline distT="0" distB="0" distL="0" distR="0" wp14:anchorId="642B27F4" wp14:editId="5F63239C">
            <wp:extent cx="5943600" cy="991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EDC6" w14:textId="2A02DF9D" w:rsidR="004B6870" w:rsidRDefault="004B6870" w:rsidP="004B6870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lastRenderedPageBreak/>
        <w:t>This line is deliberately obfuscated, so chances are good the it is the kill switch.  Let’s use the malware</w:t>
      </w:r>
      <w:r w:rsidR="005A2C85">
        <w:t>’</w:t>
      </w:r>
      <w:r>
        <w:t xml:space="preserve">s H2A converter to convert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6B696C6C737769746368 </w:t>
      </w:r>
      <w:r w:rsidRPr="004B6870">
        <w:t>into ASCII.</w:t>
      </w:r>
      <w:r>
        <w:br/>
      </w:r>
      <w:r>
        <w:rPr>
          <w:noProof/>
        </w:rPr>
        <w:drawing>
          <wp:inline distT="0" distB="0" distL="0" distR="0" wp14:anchorId="5D42D859" wp14:editId="005E0D1A">
            <wp:extent cx="3981450" cy="9758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292" cy="98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BD0B" w14:textId="77777777" w:rsidR="00A94F3E" w:rsidRDefault="00A94F3E" w:rsidP="004B68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2F9705B5" w14:textId="245066A6" w:rsidR="003C1A5A" w:rsidRDefault="004B6870">
      <w:r>
        <w:t xml:space="preserve"> </w:t>
      </w:r>
      <w:r w:rsidR="00A94F3E">
        <w:t>I would say we are looking in the right spot!</w:t>
      </w:r>
    </w:p>
    <w:p w14:paraId="7C815D81" w14:textId="1139AF4D" w:rsidR="002142C1" w:rsidRDefault="00A94F3E" w:rsidP="00A94F3E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The center of the statement is </w:t>
      </w:r>
      <w:proofErr w:type="spellStart"/>
      <w:r>
        <w:t>ti-rox</w:t>
      </w:r>
      <w:proofErr w:type="spellEnd"/>
      <w:r>
        <w:t xml:space="preserve">, which performs a bitwise XOR on its two parameters.  The first </w:t>
      </w:r>
      <w:r w:rsidR="005F029C">
        <w:t>parameter is</w:t>
      </w:r>
      <w:r>
        <w:br/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0000FF"/>
          <w:sz w:val="18"/>
          <w:szCs w:val="18"/>
        </w:rPr>
        <w:t>B2H</w:t>
      </w:r>
      <w:r>
        <w:rPr>
          <w:rFonts w:ascii="Lucida Console" w:hAnsi="Lucida Console" w:cs="Lucida Console"/>
          <w:sz w:val="18"/>
          <w:szCs w:val="18"/>
        </w:rPr>
        <w:t xml:space="preserve"> $(</w:t>
      </w:r>
      <w:r>
        <w:rPr>
          <w:rFonts w:ascii="Lucida Console" w:hAnsi="Lucida Console" w:cs="Lucida Console"/>
          <w:color w:val="0000FF"/>
          <w:sz w:val="18"/>
          <w:szCs w:val="18"/>
        </w:rPr>
        <w:t>G2B</w:t>
      </w:r>
      <w:r>
        <w:rPr>
          <w:rFonts w:ascii="Lucida Console" w:hAnsi="Lucida Console" w:cs="Lucida Console"/>
          <w:sz w:val="18"/>
          <w:szCs w:val="18"/>
        </w:rPr>
        <w:t xml:space="preserve"> $(</w:t>
      </w:r>
      <w:r>
        <w:rPr>
          <w:rFonts w:ascii="Lucida Console" w:hAnsi="Lucida Console" w:cs="Lucida Console"/>
          <w:color w:val="0000FF"/>
          <w:sz w:val="18"/>
          <w:szCs w:val="18"/>
        </w:rPr>
        <w:t>H2B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$S1</w:t>
      </w:r>
      <w:r>
        <w:rPr>
          <w:rFonts w:ascii="Lucida Console" w:hAnsi="Lucida Console" w:cs="Lucida Console"/>
          <w:sz w:val="18"/>
          <w:szCs w:val="18"/>
        </w:rPr>
        <w:t xml:space="preserve">))) </w:t>
      </w:r>
      <w:r>
        <w:rPr>
          <w:rFonts w:ascii="Lucida Console" w:hAnsi="Lucida Console" w:cs="Lucida Console"/>
          <w:sz w:val="18"/>
          <w:szCs w:val="18"/>
        </w:rPr>
        <w:br/>
      </w:r>
      <w:r>
        <w:t>H2B takes the long hex value stored in $S1 and converts it to a byte array (binary).  Then G2B decompresses the array with gzip.  Finally, B2H converts the uncompressed binary back to a hex string.</w:t>
      </w:r>
      <w:r>
        <w:br/>
      </w:r>
      <w:r w:rsidR="002142C1">
        <w:rPr>
          <w:noProof/>
        </w:rPr>
        <w:drawing>
          <wp:inline distT="0" distB="0" distL="0" distR="0" wp14:anchorId="142716F2" wp14:editId="0AA6D351">
            <wp:extent cx="4143375" cy="3811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5188" cy="38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8CCD" w14:textId="23D88A0A" w:rsidR="00A94F3E" w:rsidRDefault="00A94F3E" w:rsidP="00A94F3E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44620200" w14:textId="77777777" w:rsidR="00A94F3E" w:rsidRDefault="00A94F3E" w:rsidP="00A94F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The second parameter for </w:t>
      </w:r>
      <w:proofErr w:type="spellStart"/>
      <w:r>
        <w:t>ti_rox</w:t>
      </w:r>
      <w:proofErr w:type="spellEnd"/>
      <w:r>
        <w:t xml:space="preserve"> is </w:t>
      </w:r>
      <w:r>
        <w:br/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0000FF"/>
          <w:sz w:val="18"/>
          <w:szCs w:val="18"/>
        </w:rPr>
        <w:t>Resolve-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DnsName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erohetfanu.com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6B696C6C737769746368.erohetfanu.com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TXT</w:t>
      </w:r>
      <w:proofErr w:type="gramStart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Strings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53454E2" w14:textId="31651906" w:rsidR="00A94F3E" w:rsidRDefault="00A94F3E" w:rsidP="00A94F3E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This gets the malware DNS server’s answer for a query.  We’ve </w:t>
      </w:r>
      <w:r w:rsidR="00C64DA0">
        <w:t xml:space="preserve">already </w:t>
      </w:r>
      <w:r>
        <w:t xml:space="preserve">determined the query means </w:t>
      </w:r>
      <w:r w:rsidR="00011E50">
        <w:t>kill switch</w:t>
      </w:r>
      <w:r>
        <w:t>.</w:t>
      </w:r>
      <w:r w:rsidR="005A2C85">
        <w:t xml:space="preserve">  Here I’ve switched from ISE to a PowerShell console, so I can split the line with the backtick character and get a better screenshot.</w:t>
      </w:r>
    </w:p>
    <w:p w14:paraId="0FD1CE31" w14:textId="63879E49" w:rsidR="00A94F3E" w:rsidRDefault="005A2C85" w:rsidP="00A94F3E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660EF77" wp14:editId="7FCFB16C">
            <wp:extent cx="5010150" cy="523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4C9B" w14:textId="77777777" w:rsidR="005A2C85" w:rsidRDefault="005A2C85" w:rsidP="00A94F3E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4329877C" w14:textId="5409AF1D" w:rsidR="002142C1" w:rsidRDefault="005A2C85">
      <w:pPr>
        <w:rPr>
          <w:noProof/>
        </w:rPr>
      </w:pPr>
      <w:r>
        <w:rPr>
          <w:noProof/>
        </w:rPr>
        <w:t>We now know the hex strings that ti_rox will XOR.  If we replace the code with the two hex strings we have computed, the line looks simpler.</w:t>
      </w:r>
      <w:r>
        <w:rPr>
          <w:noProof/>
        </w:rPr>
        <w:br/>
      </w:r>
      <w:r w:rsidR="002142C1">
        <w:rPr>
          <w:noProof/>
        </w:rPr>
        <w:drawing>
          <wp:inline distT="0" distB="0" distL="0" distR="0" wp14:anchorId="72B2CF77" wp14:editId="41116983">
            <wp:extent cx="3714750" cy="11708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2808" cy="11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D44A" w14:textId="11DED68C" w:rsidR="005A2C85" w:rsidRDefault="0025043C">
      <w:r>
        <w:t xml:space="preserve">Function </w:t>
      </w:r>
      <w:proofErr w:type="spellStart"/>
      <w:r>
        <w:t>ti_rox</w:t>
      </w:r>
      <w:proofErr w:type="spellEnd"/>
      <w:r>
        <w:t xml:space="preserve"> outputs a byte array.  The function uses B2H and H2A to convert the array to an ASCII string.</w:t>
      </w:r>
      <w:r>
        <w:br/>
      </w:r>
      <w:r>
        <w:rPr>
          <w:noProof/>
        </w:rPr>
        <w:drawing>
          <wp:inline distT="0" distB="0" distL="0" distR="0" wp14:anchorId="2CD96811" wp14:editId="045C66E1">
            <wp:extent cx="5943600" cy="5130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B57D" w14:textId="1F676D0C" w:rsidR="005A2C85" w:rsidRDefault="0025043C">
      <w:r>
        <w:t xml:space="preserve">This is interesting on a couple of levels.  It gives us the DNS domain the kill switch wants to resolve.  Additionally, the kill switch is remarkably </w:t>
      </w:r>
      <w:r w:rsidR="00E81524">
        <w:t>like</w:t>
      </w:r>
      <w:r>
        <w:t xml:space="preserve"> the password Shinny Upatree used on the </w:t>
      </w:r>
      <w:r w:rsidR="00E81524">
        <w:t>Git repository.  Could we have an inside job here?  We’d best keep that quiet until we report to Alabaster.</w:t>
      </w:r>
    </w:p>
    <w:p w14:paraId="0350409A" w14:textId="33C13F03" w:rsidR="0026250D" w:rsidRDefault="00E81524">
      <w:r>
        <w:lastRenderedPageBreak/>
        <w:t>Now the long, obfuscated line reduces to something obvious.</w:t>
      </w:r>
      <w:r>
        <w:br/>
      </w:r>
      <w:r w:rsidR="0026250D">
        <w:rPr>
          <w:noProof/>
        </w:rPr>
        <w:drawing>
          <wp:inline distT="0" distB="0" distL="0" distR="0" wp14:anchorId="5DE73796" wp14:editId="5C745588">
            <wp:extent cx="5943600" cy="8540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2DAF" w14:textId="1A1CF385" w:rsidR="00E81524" w:rsidRDefault="00E81524">
      <w:r>
        <w:t xml:space="preserve">If the DNS query for </w:t>
      </w:r>
      <w:proofErr w:type="spellStart"/>
      <w:proofErr w:type="gramStart"/>
      <w:r>
        <w:t>yippeekiyaa.a</w:t>
      </w:r>
      <w:r w:rsidR="00011E50">
        <w:t>a</w:t>
      </w:r>
      <w:r>
        <w:t>ay</w:t>
      </w:r>
      <w:proofErr w:type="spellEnd"/>
      <w:proofErr w:type="gramEnd"/>
      <w:r>
        <w:t xml:space="preserve"> returns anything other than null, the malware terminates.  If we register that domain with Ho </w:t>
      </w:r>
      <w:proofErr w:type="spellStart"/>
      <w:r>
        <w:t>Ho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r w:rsidR="00011E50">
        <w:t>Daddy, the</w:t>
      </w:r>
      <w:r>
        <w:t xml:space="preserve"> malware will stop.</w:t>
      </w:r>
    </w:p>
    <w:p w14:paraId="65F4F61F" w14:textId="0D783D6B" w:rsidR="00E81524" w:rsidRDefault="00E81524">
      <w:pPr>
        <w:rPr>
          <w:noProof/>
        </w:rPr>
      </w:pPr>
      <w:r>
        <w:rPr>
          <w:noProof/>
        </w:rPr>
        <w:drawing>
          <wp:inline distT="0" distB="0" distL="0" distR="0" wp14:anchorId="7614E2C8" wp14:editId="248B3415">
            <wp:extent cx="2300145" cy="1837862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5370" cy="185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524">
        <w:rPr>
          <w:noProof/>
        </w:rPr>
        <w:t xml:space="preserve"> </w:t>
      </w:r>
      <w:r w:rsidR="006B612B">
        <w:rPr>
          <w:noProof/>
        </w:rPr>
        <w:drawing>
          <wp:inline distT="0" distB="0" distL="0" distR="0" wp14:anchorId="58D8F12F" wp14:editId="15A98493">
            <wp:extent cx="3353333" cy="1849706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5257" cy="18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287C17" w14:textId="051ECD5E" w:rsidR="00ED7F39" w:rsidRDefault="00ED7F39" w:rsidP="00ED7F39">
      <w:pPr>
        <w:pStyle w:val="Heading1"/>
      </w:pPr>
      <w:r>
        <w:t>Up Next</w:t>
      </w:r>
    </w:p>
    <w:p w14:paraId="09B93750" w14:textId="68A921DF" w:rsidR="00ED7F39" w:rsidRDefault="00ED7F39">
      <w:r>
        <w:t>We will tackle the biggest objective:  decrypt Alabaster’s password database.</w:t>
      </w:r>
    </w:p>
    <w:p w14:paraId="51391B06" w14:textId="77777777" w:rsidR="002142C1" w:rsidRDefault="002142C1"/>
    <w:sectPr w:rsidR="0021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AE"/>
    <w:rsid w:val="00011E50"/>
    <w:rsid w:val="0015081F"/>
    <w:rsid w:val="002142C1"/>
    <w:rsid w:val="0025043C"/>
    <w:rsid w:val="0026250D"/>
    <w:rsid w:val="003C1A5A"/>
    <w:rsid w:val="004A3478"/>
    <w:rsid w:val="004B6870"/>
    <w:rsid w:val="005A2C85"/>
    <w:rsid w:val="005F029C"/>
    <w:rsid w:val="006B612B"/>
    <w:rsid w:val="007717AE"/>
    <w:rsid w:val="00A94F3E"/>
    <w:rsid w:val="00AA42C2"/>
    <w:rsid w:val="00AB6E04"/>
    <w:rsid w:val="00C64DA0"/>
    <w:rsid w:val="00E81524"/>
    <w:rsid w:val="00ED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BF00"/>
  <w15:chartTrackingRefBased/>
  <w15:docId w15:val="{C545B8C5-4476-4CA1-89DA-5729EEE7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A4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C1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blogs.technet.microsoft.com/heyscriptingguy/2015/06/19/powertip-line-continuation-in-powershell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10</cp:revision>
  <dcterms:created xsi:type="dcterms:W3CDTF">2019-01-08T00:58:00Z</dcterms:created>
  <dcterms:modified xsi:type="dcterms:W3CDTF">2019-01-16T14:11:00Z</dcterms:modified>
</cp:coreProperties>
</file>