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596" w:rsidRPr="00212C5E" w:rsidRDefault="00F12715">
      <w:pPr>
        <w:spacing w:line="360" w:lineRule="auto"/>
        <w:jc w:val="center"/>
        <w:rPr>
          <w:rFonts w:asciiTheme="minorHAnsi" w:hAnsiTheme="minorHAnsi" w:cs="Times New Roman"/>
          <w:b/>
        </w:rPr>
      </w:pPr>
      <w:r>
        <w:rPr>
          <w:rFonts w:asciiTheme="minorHAnsi" w:hAnsiTheme="minorHAnsi" w:cs="Times New Roman"/>
          <w:b/>
          <w:u w:val="single"/>
        </w:rPr>
        <w:t>Current Source Density Approaches Improve Spatial Resolution in Event Related Potential Analysis</w:t>
      </w:r>
      <w:r w:rsidR="00484596" w:rsidRPr="00212C5E">
        <w:rPr>
          <w:rFonts w:asciiTheme="minorHAnsi" w:hAnsiTheme="minorHAnsi" w:cs="Times New Roman"/>
          <w:b/>
          <w:u w:val="single"/>
        </w:rPr>
        <w:t xml:space="preserve"> </w:t>
      </w:r>
      <w:r>
        <w:rPr>
          <w:rFonts w:asciiTheme="minorHAnsi" w:hAnsiTheme="minorHAnsi" w:cs="Times New Roman"/>
          <w:b/>
          <w:u w:val="single"/>
        </w:rPr>
        <w:t>in People with Parkinson’s Disease</w:t>
      </w:r>
    </w:p>
    <w:p w:rsidR="00484596" w:rsidRPr="00212C5E" w:rsidRDefault="00484596">
      <w:pPr>
        <w:pBdr>
          <w:bottom w:val="single" w:sz="6" w:space="1" w:color="000000"/>
        </w:pBdr>
        <w:spacing w:line="360" w:lineRule="auto"/>
        <w:jc w:val="both"/>
        <w:rPr>
          <w:rFonts w:asciiTheme="minorHAnsi" w:hAnsiTheme="minorHAnsi" w:cs="Times New Roman"/>
          <w:b/>
        </w:rPr>
      </w:pPr>
    </w:p>
    <w:p w:rsidR="00484596" w:rsidRPr="00212C5E" w:rsidRDefault="00484596">
      <w:pPr>
        <w:spacing w:line="360" w:lineRule="auto"/>
        <w:jc w:val="both"/>
        <w:rPr>
          <w:rFonts w:asciiTheme="minorHAnsi" w:hAnsiTheme="minorHAnsi" w:cs="Times New Roman"/>
          <w:b/>
        </w:rPr>
      </w:pPr>
    </w:p>
    <w:p w:rsidR="00484596" w:rsidRPr="00212C5E" w:rsidRDefault="00484596">
      <w:pPr>
        <w:spacing w:line="360" w:lineRule="auto"/>
        <w:jc w:val="both"/>
        <w:rPr>
          <w:rFonts w:asciiTheme="minorHAnsi" w:hAnsiTheme="minorHAnsi" w:cs="Times New Roman"/>
          <w:b/>
        </w:rPr>
      </w:pPr>
    </w:p>
    <w:p w:rsidR="00484596" w:rsidRPr="00212C5E" w:rsidRDefault="00484596">
      <w:pPr>
        <w:spacing w:after="240" w:line="360" w:lineRule="auto"/>
        <w:jc w:val="center"/>
        <w:rPr>
          <w:rFonts w:asciiTheme="minorHAnsi" w:hAnsiTheme="minorHAnsi" w:cs="Times New Roman"/>
        </w:rPr>
      </w:pPr>
      <w:proofErr w:type="spellStart"/>
      <w:r w:rsidRPr="00212C5E">
        <w:rPr>
          <w:rFonts w:asciiTheme="minorHAnsi" w:hAnsiTheme="minorHAnsi" w:cs="Times New Roman"/>
        </w:rPr>
        <w:t>Conor</w:t>
      </w:r>
      <w:proofErr w:type="spellEnd"/>
      <w:r w:rsidRPr="00212C5E">
        <w:rPr>
          <w:rFonts w:asciiTheme="minorHAnsi" w:hAnsiTheme="minorHAnsi" w:cs="Times New Roman"/>
        </w:rPr>
        <w:t xml:space="preserve"> </w:t>
      </w:r>
      <w:proofErr w:type="spellStart"/>
      <w:r w:rsidRPr="00212C5E">
        <w:rPr>
          <w:rFonts w:asciiTheme="minorHAnsi" w:hAnsiTheme="minorHAnsi" w:cs="Times New Roman"/>
          <w:b/>
        </w:rPr>
        <w:t>Fearon</w:t>
      </w:r>
      <w:proofErr w:type="spellEnd"/>
      <w:r w:rsidRPr="00212C5E">
        <w:rPr>
          <w:rFonts w:asciiTheme="minorHAnsi" w:hAnsiTheme="minorHAnsi" w:cs="Times New Roman"/>
          <w:b/>
          <w:vertAlign w:val="superscript"/>
        </w:rPr>
        <w:t>*</w:t>
      </w:r>
      <w:r w:rsidRPr="00212C5E">
        <w:rPr>
          <w:rFonts w:asciiTheme="minorHAnsi" w:hAnsiTheme="minorHAnsi" w:cs="Times New Roman"/>
          <w:i/>
          <w:vertAlign w:val="superscript"/>
        </w:rPr>
        <w:t xml:space="preserve"> </w:t>
      </w:r>
      <w:r w:rsidRPr="00212C5E">
        <w:rPr>
          <w:rFonts w:asciiTheme="minorHAnsi" w:hAnsiTheme="minorHAnsi" w:cs="Times New Roman"/>
          <w:vertAlign w:val="superscript"/>
        </w:rPr>
        <w:t>1</w:t>
      </w:r>
      <w:proofErr w:type="gramStart"/>
      <w:r w:rsidRPr="00212C5E">
        <w:rPr>
          <w:rFonts w:asciiTheme="minorHAnsi" w:hAnsiTheme="minorHAnsi" w:cs="Times New Roman"/>
          <w:vertAlign w:val="superscript"/>
        </w:rPr>
        <w:t>,2,3</w:t>
      </w:r>
      <w:proofErr w:type="gramEnd"/>
      <w:r w:rsidRPr="00212C5E">
        <w:rPr>
          <w:rFonts w:asciiTheme="minorHAnsi" w:hAnsiTheme="minorHAnsi" w:cs="Times New Roman"/>
          <w:vertAlign w:val="superscript"/>
        </w:rPr>
        <w:t xml:space="preserve"> </w:t>
      </w:r>
      <w:r w:rsidRPr="00212C5E">
        <w:rPr>
          <w:rFonts w:asciiTheme="minorHAnsi" w:hAnsiTheme="minorHAnsi" w:cs="Times New Roman"/>
        </w:rPr>
        <w:t xml:space="preserve">, John S. </w:t>
      </w:r>
      <w:r w:rsidRPr="00212C5E">
        <w:rPr>
          <w:rFonts w:asciiTheme="minorHAnsi" w:hAnsiTheme="minorHAnsi" w:cs="Times New Roman"/>
          <w:b/>
        </w:rPr>
        <w:t>Butler</w:t>
      </w:r>
      <w:r w:rsidRPr="00212C5E">
        <w:rPr>
          <w:rFonts w:asciiTheme="minorHAnsi" w:hAnsiTheme="minorHAnsi" w:cs="Times New Roman"/>
          <w:b/>
          <w:vertAlign w:val="superscript"/>
        </w:rPr>
        <w:t>*</w:t>
      </w:r>
      <w:r w:rsidRPr="00212C5E">
        <w:rPr>
          <w:rFonts w:asciiTheme="minorHAnsi" w:hAnsiTheme="minorHAnsi" w:cs="Times New Roman"/>
          <w:vertAlign w:val="superscript"/>
        </w:rPr>
        <w:t xml:space="preserve"> 1,4</w:t>
      </w:r>
      <w:r w:rsidR="00350548" w:rsidRPr="00212C5E">
        <w:rPr>
          <w:rFonts w:asciiTheme="minorHAnsi" w:hAnsiTheme="minorHAnsi" w:cs="Times New Roman"/>
          <w:vertAlign w:val="superscript"/>
        </w:rPr>
        <w:t>,5</w:t>
      </w:r>
      <w:r w:rsidRPr="00212C5E">
        <w:rPr>
          <w:rFonts w:asciiTheme="minorHAnsi" w:hAnsiTheme="minorHAnsi" w:cs="Times New Roman"/>
        </w:rPr>
        <w:t xml:space="preserve">, </w:t>
      </w:r>
      <w:proofErr w:type="spellStart"/>
      <w:r w:rsidRPr="00212C5E">
        <w:rPr>
          <w:rFonts w:asciiTheme="minorHAnsi" w:hAnsiTheme="minorHAnsi" w:cs="Times New Roman"/>
        </w:rPr>
        <w:t>Saskia</w:t>
      </w:r>
      <w:proofErr w:type="spellEnd"/>
      <w:r w:rsidRPr="00212C5E">
        <w:rPr>
          <w:rFonts w:asciiTheme="minorHAnsi" w:hAnsiTheme="minorHAnsi" w:cs="Times New Roman"/>
        </w:rPr>
        <w:t xml:space="preserve"> M. </w:t>
      </w:r>
      <w:r w:rsidRPr="00212C5E">
        <w:rPr>
          <w:rFonts w:asciiTheme="minorHAnsi" w:hAnsiTheme="minorHAnsi" w:cs="Times New Roman"/>
          <w:b/>
        </w:rPr>
        <w:t>Waechter</w:t>
      </w:r>
      <w:r w:rsidRPr="00212C5E">
        <w:rPr>
          <w:rFonts w:asciiTheme="minorHAnsi" w:hAnsiTheme="minorHAnsi" w:cs="Times New Roman"/>
          <w:vertAlign w:val="superscript"/>
        </w:rPr>
        <w:t>1,2</w:t>
      </w:r>
      <w:r w:rsidRPr="00212C5E">
        <w:rPr>
          <w:rFonts w:asciiTheme="minorHAnsi" w:hAnsiTheme="minorHAnsi" w:cs="Times New Roman"/>
        </w:rPr>
        <w:t xml:space="preserve">, Isabelle </w:t>
      </w:r>
      <w:r w:rsidRPr="00212C5E">
        <w:rPr>
          <w:rFonts w:asciiTheme="minorHAnsi" w:hAnsiTheme="minorHAnsi" w:cs="Times New Roman"/>
          <w:b/>
        </w:rPr>
        <w:t>Killane</w:t>
      </w:r>
      <w:r w:rsidRPr="00212C5E">
        <w:rPr>
          <w:rFonts w:asciiTheme="minorHAnsi" w:hAnsiTheme="minorHAnsi" w:cs="Times New Roman"/>
          <w:vertAlign w:val="superscript"/>
        </w:rPr>
        <w:t>1,2</w:t>
      </w:r>
      <w:r w:rsidR="00B321E9" w:rsidRPr="00212C5E">
        <w:rPr>
          <w:rFonts w:asciiTheme="minorHAnsi" w:hAnsiTheme="minorHAnsi" w:cs="Times New Roman"/>
          <w:vertAlign w:val="superscript"/>
        </w:rPr>
        <w:t>,</w:t>
      </w:r>
      <w:r w:rsidR="00F12715">
        <w:rPr>
          <w:rFonts w:asciiTheme="minorHAnsi" w:hAnsiTheme="minorHAnsi" w:cs="Times New Roman"/>
          <w:vertAlign w:val="superscript"/>
        </w:rPr>
        <w:t>6</w:t>
      </w:r>
      <w:r w:rsidRPr="00212C5E">
        <w:rPr>
          <w:rFonts w:asciiTheme="minorHAnsi" w:hAnsiTheme="minorHAnsi" w:cs="Times New Roman"/>
        </w:rPr>
        <w:t xml:space="preserve"> </w:t>
      </w:r>
    </w:p>
    <w:p w:rsidR="00484596" w:rsidRPr="00212C5E" w:rsidRDefault="00484596" w:rsidP="00F12715">
      <w:pPr>
        <w:spacing w:after="240" w:line="360" w:lineRule="auto"/>
        <w:ind w:left="1440" w:firstLine="720"/>
        <w:rPr>
          <w:rFonts w:asciiTheme="minorHAnsi" w:hAnsiTheme="minorHAnsi" w:cs="Times New Roman"/>
          <w:i/>
        </w:rPr>
      </w:pPr>
      <w:r w:rsidRPr="00212C5E">
        <w:rPr>
          <w:rFonts w:asciiTheme="minorHAnsi" w:hAnsiTheme="minorHAnsi" w:cs="Times New Roman"/>
        </w:rPr>
        <w:t xml:space="preserve"> Richard B. </w:t>
      </w:r>
      <w:r w:rsidRPr="00212C5E">
        <w:rPr>
          <w:rFonts w:asciiTheme="minorHAnsi" w:hAnsiTheme="minorHAnsi" w:cs="Times New Roman"/>
          <w:b/>
        </w:rPr>
        <w:t>Reilly</w:t>
      </w:r>
      <w:r w:rsidRPr="00212C5E">
        <w:rPr>
          <w:rFonts w:asciiTheme="minorHAnsi" w:hAnsiTheme="minorHAnsi" w:cs="Times New Roman"/>
          <w:vertAlign w:val="superscript"/>
        </w:rPr>
        <w:t>1</w:t>
      </w:r>
      <w:proofErr w:type="gramStart"/>
      <w:r w:rsidRPr="00212C5E">
        <w:rPr>
          <w:rFonts w:asciiTheme="minorHAnsi" w:hAnsiTheme="minorHAnsi" w:cs="Times New Roman"/>
          <w:vertAlign w:val="superscript"/>
        </w:rPr>
        <w:t>,2,5</w:t>
      </w:r>
      <w:proofErr w:type="gramEnd"/>
      <w:r w:rsidRPr="00212C5E">
        <w:rPr>
          <w:rFonts w:asciiTheme="minorHAnsi" w:hAnsiTheme="minorHAnsi" w:cs="Times New Roman"/>
        </w:rPr>
        <w:t xml:space="preserve"> &amp; Timothy </w:t>
      </w:r>
      <w:r w:rsidRPr="00212C5E">
        <w:rPr>
          <w:rFonts w:asciiTheme="minorHAnsi" w:hAnsiTheme="minorHAnsi" w:cs="Times New Roman"/>
          <w:b/>
        </w:rPr>
        <w:t>Lynch</w:t>
      </w:r>
      <w:r w:rsidRPr="00212C5E">
        <w:rPr>
          <w:rFonts w:asciiTheme="minorHAnsi" w:hAnsiTheme="minorHAnsi" w:cs="Times New Roman"/>
          <w:vertAlign w:val="superscript"/>
        </w:rPr>
        <w:t>3</w:t>
      </w:r>
    </w:p>
    <w:p w:rsidR="00484596" w:rsidRPr="00212C5E" w:rsidRDefault="00484596">
      <w:pPr>
        <w:spacing w:line="360" w:lineRule="auto"/>
        <w:rPr>
          <w:rFonts w:asciiTheme="minorHAnsi" w:hAnsiTheme="minorHAnsi" w:cs="Times New Roman"/>
          <w:i/>
          <w:vertAlign w:val="superscript"/>
        </w:rPr>
      </w:pPr>
      <w:r w:rsidRPr="00212C5E">
        <w:rPr>
          <w:rFonts w:asciiTheme="minorHAnsi" w:hAnsiTheme="minorHAnsi" w:cs="Times New Roman"/>
          <w:i/>
          <w:vertAlign w:val="superscript"/>
        </w:rPr>
        <w:t>1</w:t>
      </w:r>
      <w:r w:rsidRPr="00212C5E">
        <w:rPr>
          <w:rFonts w:asciiTheme="minorHAnsi" w:hAnsiTheme="minorHAnsi" w:cs="Times New Roman"/>
          <w:i/>
        </w:rPr>
        <w:t xml:space="preserve">Trinity Centre for Bioengineering, Trinity College, </w:t>
      </w:r>
      <w:proofErr w:type="gramStart"/>
      <w:r w:rsidRPr="00212C5E">
        <w:rPr>
          <w:rFonts w:asciiTheme="minorHAnsi" w:hAnsiTheme="minorHAnsi" w:cs="Times New Roman"/>
          <w:i/>
        </w:rPr>
        <w:t>The</w:t>
      </w:r>
      <w:proofErr w:type="gramEnd"/>
      <w:r w:rsidRPr="00212C5E">
        <w:rPr>
          <w:rFonts w:asciiTheme="minorHAnsi" w:hAnsiTheme="minorHAnsi" w:cs="Times New Roman"/>
          <w:i/>
        </w:rPr>
        <w:t xml:space="preserve"> University of Dublin, Dublin 2, Ireland</w:t>
      </w:r>
    </w:p>
    <w:p w:rsidR="00484596" w:rsidRPr="00212C5E" w:rsidRDefault="00484596">
      <w:pPr>
        <w:spacing w:line="360" w:lineRule="auto"/>
        <w:rPr>
          <w:rFonts w:asciiTheme="minorHAnsi" w:hAnsiTheme="minorHAnsi" w:cs="Times New Roman"/>
          <w:i/>
          <w:vertAlign w:val="superscript"/>
        </w:rPr>
      </w:pPr>
      <w:r w:rsidRPr="00212C5E">
        <w:rPr>
          <w:rFonts w:asciiTheme="minorHAnsi" w:hAnsiTheme="minorHAnsi" w:cs="Times New Roman"/>
          <w:i/>
          <w:vertAlign w:val="superscript"/>
        </w:rPr>
        <w:t>2</w:t>
      </w:r>
      <w:r w:rsidRPr="00212C5E">
        <w:rPr>
          <w:rFonts w:asciiTheme="minorHAnsi" w:hAnsiTheme="minorHAnsi" w:cs="Times New Roman"/>
          <w:i/>
        </w:rPr>
        <w:t xml:space="preserve">School of Engineering, Trinity College, </w:t>
      </w:r>
      <w:proofErr w:type="gramStart"/>
      <w:r w:rsidRPr="00212C5E">
        <w:rPr>
          <w:rFonts w:asciiTheme="minorHAnsi" w:hAnsiTheme="minorHAnsi" w:cs="Times New Roman"/>
          <w:i/>
        </w:rPr>
        <w:t>The</w:t>
      </w:r>
      <w:proofErr w:type="gramEnd"/>
      <w:r w:rsidRPr="00212C5E">
        <w:rPr>
          <w:rFonts w:asciiTheme="minorHAnsi" w:hAnsiTheme="minorHAnsi" w:cs="Times New Roman"/>
          <w:i/>
        </w:rPr>
        <w:t xml:space="preserve"> University of Dublin, Dublin 2, Ireland</w:t>
      </w:r>
    </w:p>
    <w:p w:rsidR="00484596" w:rsidRPr="00212C5E" w:rsidRDefault="00484596">
      <w:pPr>
        <w:spacing w:line="360" w:lineRule="auto"/>
        <w:rPr>
          <w:rFonts w:asciiTheme="minorHAnsi" w:hAnsiTheme="minorHAnsi" w:cs="Times New Roman"/>
          <w:i/>
          <w:vertAlign w:val="superscript"/>
        </w:rPr>
      </w:pPr>
      <w:r w:rsidRPr="00212C5E">
        <w:rPr>
          <w:rFonts w:asciiTheme="minorHAnsi" w:hAnsiTheme="minorHAnsi" w:cs="Times New Roman"/>
          <w:i/>
          <w:vertAlign w:val="superscript"/>
        </w:rPr>
        <w:t>3</w:t>
      </w:r>
      <w:r w:rsidRPr="00212C5E">
        <w:rPr>
          <w:rFonts w:asciiTheme="minorHAnsi" w:hAnsiTheme="minorHAnsi" w:cs="Times New Roman"/>
          <w:i/>
          <w:shd w:val="clear" w:color="auto" w:fill="FFFFFF"/>
        </w:rPr>
        <w:t xml:space="preserve"> Dublin Neurological </w:t>
      </w:r>
      <w:proofErr w:type="gramStart"/>
      <w:r w:rsidRPr="00212C5E">
        <w:rPr>
          <w:rFonts w:asciiTheme="minorHAnsi" w:hAnsiTheme="minorHAnsi" w:cs="Times New Roman"/>
          <w:i/>
          <w:shd w:val="clear" w:color="auto" w:fill="FFFFFF"/>
        </w:rPr>
        <w:t>Institute</w:t>
      </w:r>
      <w:proofErr w:type="gramEnd"/>
      <w:r w:rsidRPr="00212C5E">
        <w:rPr>
          <w:rFonts w:asciiTheme="minorHAnsi" w:hAnsiTheme="minorHAnsi" w:cs="Times New Roman"/>
          <w:i/>
          <w:shd w:val="clear" w:color="auto" w:fill="FFFFFF"/>
        </w:rPr>
        <w:t xml:space="preserve"> at the Mater </w:t>
      </w:r>
      <w:proofErr w:type="spellStart"/>
      <w:r w:rsidRPr="00212C5E">
        <w:rPr>
          <w:rFonts w:asciiTheme="minorHAnsi" w:hAnsiTheme="minorHAnsi" w:cs="Times New Roman"/>
          <w:i/>
          <w:shd w:val="clear" w:color="auto" w:fill="FFFFFF"/>
        </w:rPr>
        <w:t>Misericordiae</w:t>
      </w:r>
      <w:proofErr w:type="spellEnd"/>
      <w:r w:rsidRPr="00212C5E">
        <w:rPr>
          <w:rFonts w:asciiTheme="minorHAnsi" w:hAnsiTheme="minorHAnsi" w:cs="Times New Roman"/>
          <w:i/>
          <w:shd w:val="clear" w:color="auto" w:fill="FFFFFF"/>
        </w:rPr>
        <w:t xml:space="preserve"> University Hospital, Dublin 7, Ireland</w:t>
      </w:r>
    </w:p>
    <w:p w:rsidR="00484596" w:rsidRPr="00212C5E" w:rsidRDefault="00484596">
      <w:pPr>
        <w:spacing w:line="360" w:lineRule="auto"/>
        <w:rPr>
          <w:rFonts w:asciiTheme="minorHAnsi" w:hAnsiTheme="minorHAnsi" w:cs="Times New Roman"/>
          <w:i/>
          <w:vertAlign w:val="superscript"/>
        </w:rPr>
      </w:pPr>
      <w:proofErr w:type="gramStart"/>
      <w:r w:rsidRPr="00212C5E">
        <w:rPr>
          <w:rFonts w:asciiTheme="minorHAnsi" w:hAnsiTheme="minorHAnsi" w:cs="Times New Roman"/>
          <w:i/>
          <w:vertAlign w:val="superscript"/>
        </w:rPr>
        <w:t>4</w:t>
      </w:r>
      <w:r w:rsidRPr="00212C5E">
        <w:rPr>
          <w:rFonts w:asciiTheme="minorHAnsi" w:hAnsiTheme="minorHAnsi" w:cs="Times New Roman"/>
          <w:i/>
        </w:rPr>
        <w:t xml:space="preserve"> School of Mathematical Sciences, Dublin Institute of Technology, Kevin Street, Dublin, Ireland.</w:t>
      </w:r>
      <w:proofErr w:type="gramEnd"/>
    </w:p>
    <w:p w:rsidR="00F12715" w:rsidRDefault="00484596">
      <w:pPr>
        <w:spacing w:line="360" w:lineRule="auto"/>
        <w:rPr>
          <w:rFonts w:asciiTheme="minorHAnsi" w:hAnsiTheme="minorHAnsi" w:cs="Times New Roman"/>
          <w:i/>
        </w:rPr>
      </w:pPr>
      <w:r w:rsidRPr="00212C5E">
        <w:rPr>
          <w:rFonts w:asciiTheme="minorHAnsi" w:hAnsiTheme="minorHAnsi" w:cs="Times New Roman"/>
          <w:i/>
          <w:vertAlign w:val="superscript"/>
        </w:rPr>
        <w:t>5</w:t>
      </w:r>
      <w:r w:rsidRPr="00212C5E">
        <w:rPr>
          <w:rFonts w:asciiTheme="minorHAnsi" w:hAnsiTheme="minorHAnsi" w:cs="Times New Roman"/>
          <w:i/>
        </w:rPr>
        <w:t xml:space="preserve">School of Medicine, Trinity College, </w:t>
      </w:r>
      <w:proofErr w:type="gramStart"/>
      <w:r w:rsidRPr="00212C5E">
        <w:rPr>
          <w:rFonts w:asciiTheme="minorHAnsi" w:hAnsiTheme="minorHAnsi" w:cs="Times New Roman"/>
          <w:i/>
        </w:rPr>
        <w:t>The</w:t>
      </w:r>
      <w:proofErr w:type="gramEnd"/>
      <w:r w:rsidRPr="00212C5E">
        <w:rPr>
          <w:rFonts w:asciiTheme="minorHAnsi" w:hAnsiTheme="minorHAnsi" w:cs="Times New Roman"/>
          <w:i/>
        </w:rPr>
        <w:t xml:space="preserve"> University of Dublin, Dublin 2, Irelan</w:t>
      </w:r>
      <w:r w:rsidR="00F12715">
        <w:rPr>
          <w:rFonts w:asciiTheme="minorHAnsi" w:hAnsiTheme="minorHAnsi" w:cs="Times New Roman"/>
          <w:i/>
        </w:rPr>
        <w:t>d</w:t>
      </w:r>
    </w:p>
    <w:p w:rsidR="00B321E9" w:rsidRPr="00212C5E" w:rsidRDefault="00F12715">
      <w:pPr>
        <w:spacing w:line="360" w:lineRule="auto"/>
        <w:rPr>
          <w:rFonts w:asciiTheme="minorHAnsi" w:hAnsiTheme="minorHAnsi" w:cs="Times New Roman"/>
          <w:i/>
          <w:vertAlign w:val="superscript"/>
        </w:rPr>
      </w:pPr>
      <w:r>
        <w:rPr>
          <w:rFonts w:asciiTheme="minorHAnsi" w:hAnsiTheme="minorHAnsi" w:cs="Times New Roman"/>
          <w:i/>
          <w:vertAlign w:val="superscript"/>
        </w:rPr>
        <w:t>6</w:t>
      </w:r>
      <w:r w:rsidR="00B321E9" w:rsidRPr="00212C5E">
        <w:rPr>
          <w:rFonts w:asciiTheme="minorHAnsi" w:hAnsiTheme="minorHAnsi" w:cs="Times New Roman"/>
          <w:i/>
        </w:rPr>
        <w:t xml:space="preserve"> </w:t>
      </w:r>
      <w:proofErr w:type="gramStart"/>
      <w:r w:rsidR="00B321E9" w:rsidRPr="00212C5E">
        <w:rPr>
          <w:rFonts w:asciiTheme="minorHAnsi" w:hAnsiTheme="minorHAnsi" w:cs="Times New Roman"/>
          <w:i/>
        </w:rPr>
        <w:t>School</w:t>
      </w:r>
      <w:proofErr w:type="gramEnd"/>
      <w:r w:rsidR="00B321E9" w:rsidRPr="00212C5E">
        <w:rPr>
          <w:rFonts w:asciiTheme="minorHAnsi" w:hAnsiTheme="minorHAnsi" w:cs="Times New Roman"/>
          <w:i/>
        </w:rPr>
        <w:t xml:space="preserve"> of Mechanical and Design Engineering, Dublin Institute of Technology, Bolton Street, Dublin, Ireland.</w:t>
      </w:r>
    </w:p>
    <w:p w:rsidR="00484596" w:rsidRPr="00212C5E" w:rsidRDefault="00484596">
      <w:pPr>
        <w:spacing w:line="360" w:lineRule="auto"/>
        <w:rPr>
          <w:rFonts w:asciiTheme="minorHAnsi" w:hAnsiTheme="minorHAnsi" w:cs="Times New Roman"/>
          <w:i/>
        </w:rPr>
      </w:pPr>
    </w:p>
    <w:p w:rsidR="00484596" w:rsidRPr="00212C5E" w:rsidRDefault="00484596">
      <w:pPr>
        <w:spacing w:line="360" w:lineRule="auto"/>
        <w:jc w:val="both"/>
        <w:rPr>
          <w:rFonts w:asciiTheme="minorHAnsi" w:hAnsiTheme="minorHAnsi" w:cs="Times New Roman"/>
        </w:rPr>
      </w:pPr>
      <w:r w:rsidRPr="00212C5E">
        <w:rPr>
          <w:rFonts w:asciiTheme="minorHAnsi" w:hAnsiTheme="minorHAnsi" w:cs="Times New Roman"/>
        </w:rPr>
        <w:t xml:space="preserve">Corresponding authors: </w:t>
      </w:r>
      <w:r w:rsidRPr="00212C5E">
        <w:rPr>
          <w:rFonts w:asciiTheme="minorHAnsi" w:hAnsiTheme="minorHAnsi" w:cs="Times New Roman"/>
        </w:rPr>
        <w:tab/>
      </w:r>
    </w:p>
    <w:p w:rsidR="00484596" w:rsidRPr="00212C5E" w:rsidRDefault="00484596">
      <w:pPr>
        <w:pStyle w:val="ListParagraph"/>
        <w:numPr>
          <w:ilvl w:val="0"/>
          <w:numId w:val="1"/>
        </w:numPr>
        <w:spacing w:line="360" w:lineRule="auto"/>
        <w:ind w:left="709" w:hanging="283"/>
        <w:jc w:val="both"/>
        <w:rPr>
          <w:rFonts w:asciiTheme="minorHAnsi" w:hAnsiTheme="minorHAnsi" w:cs="Times New Roman"/>
        </w:rPr>
      </w:pPr>
      <w:r w:rsidRPr="00212C5E">
        <w:rPr>
          <w:rFonts w:asciiTheme="minorHAnsi" w:hAnsiTheme="minorHAnsi" w:cs="Times New Roman"/>
        </w:rPr>
        <w:t xml:space="preserve">Timothy Lynch, </w:t>
      </w:r>
      <w:r w:rsidR="00FB6DFC" w:rsidRPr="00212C5E">
        <w:rPr>
          <w:rFonts w:asciiTheme="minorHAnsi" w:hAnsiTheme="minorHAnsi" w:cs="Times New Roman"/>
        </w:rPr>
        <w:t xml:space="preserve">Centre for Brain Health, </w:t>
      </w:r>
      <w:r w:rsidRPr="00212C5E">
        <w:rPr>
          <w:rFonts w:asciiTheme="minorHAnsi" w:hAnsiTheme="minorHAnsi" w:cs="Times New Roman"/>
        </w:rPr>
        <w:t xml:space="preserve">Dublin Neurological Institute at the Mater </w:t>
      </w:r>
      <w:proofErr w:type="spellStart"/>
      <w:r w:rsidRPr="00212C5E">
        <w:rPr>
          <w:rFonts w:asciiTheme="minorHAnsi" w:hAnsiTheme="minorHAnsi" w:cs="Times New Roman"/>
        </w:rPr>
        <w:t>Misericordiae</w:t>
      </w:r>
      <w:proofErr w:type="spellEnd"/>
      <w:r w:rsidRPr="00212C5E">
        <w:rPr>
          <w:rFonts w:asciiTheme="minorHAnsi" w:hAnsiTheme="minorHAnsi" w:cs="Times New Roman"/>
        </w:rPr>
        <w:t xml:space="preserve"> University Hospital, 57 Eccles Street, Dublin 7, tlynch@dni.ie </w:t>
      </w:r>
    </w:p>
    <w:p w:rsidR="00484596" w:rsidRPr="00212C5E" w:rsidRDefault="00484596">
      <w:pPr>
        <w:pStyle w:val="ListParagraph"/>
        <w:numPr>
          <w:ilvl w:val="0"/>
          <w:numId w:val="1"/>
        </w:numPr>
        <w:spacing w:line="360" w:lineRule="auto"/>
        <w:ind w:left="709" w:hanging="283"/>
        <w:jc w:val="both"/>
        <w:rPr>
          <w:rFonts w:asciiTheme="minorHAnsi" w:hAnsiTheme="minorHAnsi" w:cs="Times New Roman"/>
        </w:rPr>
      </w:pPr>
      <w:r w:rsidRPr="00212C5E">
        <w:rPr>
          <w:rFonts w:asciiTheme="minorHAnsi" w:hAnsiTheme="minorHAnsi" w:cs="Times New Roman"/>
        </w:rPr>
        <w:t>Richard B. Reilly, Trinity Centre for Bioengineering, the School of Medicine and the School of Engineering, Trinity College Dublin, Ireland, rbreilly@tcd.ie</w:t>
      </w:r>
    </w:p>
    <w:p w:rsidR="00484596" w:rsidRPr="00212C5E" w:rsidRDefault="00484596">
      <w:pPr>
        <w:spacing w:line="360" w:lineRule="auto"/>
        <w:jc w:val="both"/>
        <w:rPr>
          <w:rFonts w:asciiTheme="minorHAnsi" w:hAnsiTheme="minorHAnsi" w:cs="Times New Roman"/>
        </w:rPr>
      </w:pPr>
      <w:r w:rsidRPr="00212C5E">
        <w:rPr>
          <w:rFonts w:asciiTheme="minorHAnsi" w:hAnsiTheme="minorHAnsi" w:cs="Times New Roman"/>
          <w:vertAlign w:val="superscript"/>
        </w:rPr>
        <w:t xml:space="preserve">* </w:t>
      </w:r>
      <w:r w:rsidRPr="00212C5E">
        <w:rPr>
          <w:rFonts w:asciiTheme="minorHAnsi" w:hAnsiTheme="minorHAnsi" w:cs="Times New Roman"/>
          <w:lang w:val="en-IE"/>
        </w:rPr>
        <w:t xml:space="preserve">C. </w:t>
      </w:r>
      <w:proofErr w:type="spellStart"/>
      <w:r w:rsidRPr="00212C5E">
        <w:rPr>
          <w:rFonts w:asciiTheme="minorHAnsi" w:hAnsiTheme="minorHAnsi" w:cs="Times New Roman"/>
          <w:lang w:val="en-IE"/>
        </w:rPr>
        <w:t>Fearon</w:t>
      </w:r>
      <w:proofErr w:type="spellEnd"/>
      <w:r w:rsidRPr="00212C5E">
        <w:rPr>
          <w:rFonts w:asciiTheme="minorHAnsi" w:hAnsiTheme="minorHAnsi" w:cs="Times New Roman"/>
          <w:lang w:val="en-IE"/>
        </w:rPr>
        <w:t xml:space="preserve"> and J.S. Butler contributed equally to the paper</w:t>
      </w:r>
    </w:p>
    <w:p w:rsidR="00484596" w:rsidRPr="00212C5E" w:rsidRDefault="00484596">
      <w:pPr>
        <w:spacing w:line="360" w:lineRule="auto"/>
        <w:jc w:val="both"/>
        <w:rPr>
          <w:rFonts w:asciiTheme="minorHAnsi" w:hAnsiTheme="minorHAnsi" w:cs="Times New Roman"/>
        </w:rPr>
      </w:pPr>
      <w:r w:rsidRPr="00212C5E">
        <w:rPr>
          <w:rFonts w:asciiTheme="minorHAnsi" w:hAnsiTheme="minorHAnsi" w:cs="Times New Roman"/>
        </w:rPr>
        <w:t xml:space="preserve">Keywords: Parkinson's </w:t>
      </w:r>
      <w:proofErr w:type="gramStart"/>
      <w:r w:rsidRPr="00212C5E">
        <w:rPr>
          <w:rFonts w:asciiTheme="minorHAnsi" w:hAnsiTheme="minorHAnsi" w:cs="Times New Roman"/>
        </w:rPr>
        <w:t>Disease</w:t>
      </w:r>
      <w:proofErr w:type="gramEnd"/>
      <w:r w:rsidRPr="00212C5E">
        <w:rPr>
          <w:rFonts w:asciiTheme="minorHAnsi" w:hAnsiTheme="minorHAnsi" w:cs="Times New Roman"/>
        </w:rPr>
        <w:t xml:space="preserve">, Event Related Potentials, </w:t>
      </w:r>
    </w:p>
    <w:p w:rsidR="00563C7A" w:rsidRPr="00F12715" w:rsidRDefault="00D75958" w:rsidP="00F96932">
      <w:pPr>
        <w:spacing w:line="360" w:lineRule="auto"/>
        <w:rPr>
          <w:rFonts w:asciiTheme="minorHAnsi" w:hAnsiTheme="minorHAnsi" w:cs="Times New Roman"/>
        </w:rPr>
      </w:pPr>
      <w:r w:rsidRPr="00212C5E">
        <w:rPr>
          <w:rFonts w:asciiTheme="minorHAnsi" w:hAnsiTheme="minorHAnsi" w:cs="Times New Roman"/>
          <w:b/>
        </w:rPr>
        <w:br w:type="page"/>
      </w:r>
    </w:p>
    <w:p w:rsidR="00F12715" w:rsidRPr="00F12715" w:rsidRDefault="00F12715" w:rsidP="003E076F">
      <w:pPr>
        <w:spacing w:line="360" w:lineRule="auto"/>
        <w:rPr>
          <w:rFonts w:asciiTheme="minorHAnsi" w:hAnsiTheme="minorHAnsi" w:cs="Times New Roman"/>
        </w:rPr>
      </w:pPr>
      <w:r>
        <w:rPr>
          <w:rFonts w:asciiTheme="minorHAnsi" w:hAnsiTheme="minorHAnsi" w:cs="Times New Roman"/>
        </w:rPr>
        <w:lastRenderedPageBreak/>
        <w:t>Sirs,</w:t>
      </w:r>
    </w:p>
    <w:p w:rsidR="00F12715" w:rsidRDefault="00F12715" w:rsidP="003E076F">
      <w:pPr>
        <w:spacing w:line="360" w:lineRule="auto"/>
        <w:rPr>
          <w:rFonts w:asciiTheme="minorHAnsi" w:hAnsiTheme="minorHAnsi" w:cs="AppleSystemUIFont"/>
          <w:color w:val="000000"/>
          <w:lang w:val="en-GB"/>
        </w:rPr>
      </w:pPr>
      <w:r>
        <w:rPr>
          <w:rFonts w:asciiTheme="minorHAnsi" w:hAnsiTheme="minorHAnsi" w:cs="AppleSystemUIFont"/>
          <w:color w:val="000000"/>
          <w:lang w:val="en-GB"/>
        </w:rPr>
        <w:t>We read with great interest th</w:t>
      </w:r>
      <w:r w:rsidR="003B79AF">
        <w:rPr>
          <w:rFonts w:asciiTheme="minorHAnsi" w:hAnsiTheme="minorHAnsi" w:cs="AppleSystemUIFont"/>
          <w:color w:val="000000"/>
          <w:lang w:val="en-GB"/>
        </w:rPr>
        <w:t xml:space="preserve">e recent article by </w:t>
      </w:r>
      <w:proofErr w:type="spellStart"/>
      <w:r w:rsidR="003B79AF">
        <w:rPr>
          <w:rFonts w:asciiTheme="minorHAnsi" w:hAnsiTheme="minorHAnsi" w:cs="AppleSystemUIFont"/>
          <w:color w:val="000000"/>
          <w:lang w:val="en-GB"/>
        </w:rPr>
        <w:t>Maidan</w:t>
      </w:r>
      <w:proofErr w:type="spellEnd"/>
      <w:r w:rsidR="003B79AF">
        <w:rPr>
          <w:rFonts w:asciiTheme="minorHAnsi" w:hAnsiTheme="minorHAnsi" w:cs="AppleSystemUIFont"/>
          <w:color w:val="000000"/>
          <w:lang w:val="en-GB"/>
        </w:rPr>
        <w:t xml:space="preserve"> and c</w:t>
      </w:r>
      <w:r>
        <w:rPr>
          <w:rFonts w:asciiTheme="minorHAnsi" w:hAnsiTheme="minorHAnsi" w:cs="AppleSystemUIFont"/>
          <w:color w:val="000000"/>
          <w:lang w:val="en-GB"/>
        </w:rPr>
        <w:t>olleagues</w:t>
      </w:r>
      <w:r w:rsidR="00655627">
        <w:rPr>
          <w:rFonts w:asciiTheme="minorHAnsi" w:hAnsiTheme="minorHAnsi" w:cs="AppleSystemUIFont"/>
          <w:color w:val="000000"/>
          <w:lang w:val="en-GB"/>
        </w:rPr>
        <w:t xml:space="preserve"> </w:t>
      </w:r>
      <w:r w:rsidR="00140A64">
        <w:rPr>
          <w:rFonts w:asciiTheme="minorHAnsi" w:hAnsiTheme="minorHAnsi" w:cs="AppleSystemUIFont"/>
          <w:color w:val="000000"/>
          <w:lang w:val="en-GB"/>
        </w:rPr>
        <w:fldChar w:fldCharType="begin"/>
      </w:r>
      <w:r w:rsidR="00655627">
        <w:rPr>
          <w:rFonts w:asciiTheme="minorHAnsi" w:hAnsiTheme="minorHAnsi" w:cs="AppleSystemUIFont"/>
          <w:color w:val="000000"/>
          <w:lang w:val="en-GB"/>
        </w:rPr>
        <w:instrText xml:space="preserve"> ADDIN ZOTERO_ITEM CSL_CITATION {"citationID":"V29Dgk4O","properties":{"formattedCitation":"(Maidan et al. 2019)","plainCitation":"(Maidan et al. 2019)","noteIndex":0},"citationItems":[{"id":1412,"uris":["http://zotero.org/users/2372420/items/BICGZ4Y4"],"uri":["http://zotero.org/users/2372420/items/BICGZ4Y4"],"itemData":{"id":1412,"type":"article-journal","title":"Changes in event-related potentials during dual task walking in aging and Parkinson's disease","container-title":"Clinical Neurophysiology: Official Journal of the International Federation of Clinical Neurophysiology","page":"224-230","volume":"130","issue":"2","source":"PubMed","abstract":"OBJECTIVE: To investigate EEG changes during an auditory odd-ball task while walking (dual-task) in young adults, older adults, and patients with Parkinson's disease.\nMETHODS: 11 young adults, 10 older adults, and 10 patients with Parkinson's disease (PD) performed an auditory oddball task during standing and walking on a treadmill, while wearing a wireless EEG cap. The amplitude and latency of P300 were compared between groups and within conditions using linear mix model analysis. Gait was evaluated using wearable sensors and cognition was assessed using the Color Trail Test.\nRESULTS: P300 latency became longer during walking in all groups (p = 0.005). During walking, older adults (p = 0.005) and patients with PD (p = 0.001) showed prolonged P300 latency compared to young adults. Significant task by group interaction was found in P300 amplitude (p = 0.008). Patients with PD demonstrated reduced P300 amplitude during walking compared to standing (p = 0.023). Among all subjects, better motor and cognitive performance correlated with shorter P300 latency (r = 0.457, p = 0.014 and r = 0.431, p = 0.040, respectively).\nCONCLUSIONS: These findings provide direct evidence of the physiological recruitment of attentional networks during walking and their impact by ageing and disease.\nSIGNIFICANCE: This study is the first to report on changes in P300 latency and amplitude during dual-task oddball walking in older adults and patients with PD.","DOI":"10.1016/j.clinph.2018.11.019","ISSN":"1872-8952","note":"PMID: 30580245","journalAbbreviation":"Clin Neurophysiol","language":"eng","author":[{"family":"Maidan","given":"Inbal"},{"family":"Fahoum","given":"Firas"},{"family":"Shustak","given":"Shiran"},{"family":"Gazit","given":"Eran"},{"family":"Patashov","given":"Dmitry"},{"family":"Tchertov","given":"Dmitry"},{"family":"Giladi","given":"Nir"},{"family":"Hausdorff","given":"Jeffrey M."},{"family":"Mirelman","given":"Anat"}],"issued":{"date-parts":[["2019",2]]}}}],"schema":"https://github.com/citation-style-language/schema/raw/master/csl-citation.json"} </w:instrText>
      </w:r>
      <w:r w:rsidR="00140A64">
        <w:rPr>
          <w:rFonts w:asciiTheme="minorHAnsi" w:hAnsiTheme="minorHAnsi" w:cs="AppleSystemUIFont"/>
          <w:color w:val="000000"/>
          <w:lang w:val="en-GB"/>
        </w:rPr>
        <w:fldChar w:fldCharType="separate"/>
      </w:r>
      <w:r w:rsidR="00655627">
        <w:rPr>
          <w:rFonts w:asciiTheme="minorHAnsi" w:hAnsiTheme="minorHAnsi" w:cs="AppleSystemUIFont"/>
          <w:noProof/>
          <w:color w:val="000000"/>
          <w:lang w:val="en-GB"/>
        </w:rPr>
        <w:t>(Maidan et al. 2019)</w:t>
      </w:r>
      <w:r w:rsidR="00140A64">
        <w:rPr>
          <w:rFonts w:asciiTheme="minorHAnsi" w:hAnsiTheme="minorHAnsi" w:cs="AppleSystemUIFont"/>
          <w:color w:val="000000"/>
          <w:lang w:val="en-GB"/>
        </w:rPr>
        <w:fldChar w:fldCharType="end"/>
      </w:r>
      <w:r w:rsidR="003B79AF">
        <w:rPr>
          <w:rFonts w:asciiTheme="minorHAnsi" w:hAnsiTheme="minorHAnsi" w:cs="AppleSystemUIFont"/>
          <w:color w:val="000000"/>
          <w:lang w:val="en-GB"/>
        </w:rPr>
        <w:t>. Using an auditory oddball task while standing and walking on a treadmill, they conducted an event-related potential analysis in 10 people with Parkinson’s disease, 10 older adults and 11 young adults, with particular focus on P300 amplitude and latency.</w:t>
      </w:r>
      <w:r w:rsidR="00D85A29">
        <w:rPr>
          <w:rFonts w:asciiTheme="minorHAnsi" w:hAnsiTheme="minorHAnsi" w:cs="AppleSystemUIFont"/>
          <w:color w:val="000000"/>
          <w:lang w:val="en-GB"/>
        </w:rPr>
        <w:t xml:space="preserve"> In all three groups, the P300 latency increased while walking</w:t>
      </w:r>
      <w:r w:rsidR="00305BB7">
        <w:rPr>
          <w:rFonts w:asciiTheme="minorHAnsi" w:hAnsiTheme="minorHAnsi" w:cs="AppleSystemUIFont"/>
          <w:color w:val="000000"/>
          <w:lang w:val="en-GB"/>
        </w:rPr>
        <w:t xml:space="preserve"> compared to standing. </w:t>
      </w:r>
      <w:r w:rsidR="00B562AC">
        <w:rPr>
          <w:rFonts w:asciiTheme="minorHAnsi" w:hAnsiTheme="minorHAnsi" w:cs="AppleSystemUIFont"/>
          <w:color w:val="000000"/>
          <w:lang w:val="en-GB"/>
        </w:rPr>
        <w:t>The</w:t>
      </w:r>
      <w:r w:rsidR="00305BB7">
        <w:rPr>
          <w:rFonts w:asciiTheme="minorHAnsi" w:hAnsiTheme="minorHAnsi" w:cs="AppleSystemUIFont"/>
          <w:color w:val="000000"/>
          <w:lang w:val="en-GB"/>
        </w:rPr>
        <w:t xml:space="preserve"> reduced P300 amplitude while walking was only seen in the Parkinson’s group. Given the associations between the P300 and </w:t>
      </w:r>
      <w:proofErr w:type="spellStart"/>
      <w:r w:rsidR="00305BB7" w:rsidRPr="00305BB7">
        <w:rPr>
          <w:rFonts w:asciiTheme="minorHAnsi" w:hAnsiTheme="minorHAnsi" w:cs="AppleSystemUIFont"/>
          <w:color w:val="000000"/>
          <w:lang w:val="en-GB"/>
        </w:rPr>
        <w:t>attention</w:t>
      </w:r>
      <w:r w:rsidR="00305BB7">
        <w:rPr>
          <w:rFonts w:asciiTheme="minorHAnsi" w:hAnsiTheme="minorHAnsi" w:cs="AppleSystemUIFont"/>
          <w:color w:val="000000"/>
          <w:lang w:val="en-GB"/>
        </w:rPr>
        <w:t>al</w:t>
      </w:r>
      <w:proofErr w:type="spellEnd"/>
      <w:r w:rsidR="00305BB7">
        <w:rPr>
          <w:rFonts w:asciiTheme="minorHAnsi" w:hAnsiTheme="minorHAnsi" w:cs="AppleSystemUIFont"/>
          <w:color w:val="000000"/>
          <w:lang w:val="en-GB"/>
        </w:rPr>
        <w:t xml:space="preserve"> mechanisms in response to novel stimuli, the authors hypothesise</w:t>
      </w:r>
      <w:r w:rsidR="00305BB7" w:rsidRPr="00305BB7">
        <w:rPr>
          <w:rFonts w:asciiTheme="minorHAnsi" w:hAnsiTheme="minorHAnsi" w:cs="AppleSystemUIFont"/>
          <w:color w:val="000000"/>
          <w:lang w:val="en-GB"/>
        </w:rPr>
        <w:t xml:space="preserve"> impaired recruitment of </w:t>
      </w:r>
      <w:proofErr w:type="spellStart"/>
      <w:r w:rsidR="00305BB7" w:rsidRPr="00305BB7">
        <w:rPr>
          <w:rFonts w:asciiTheme="minorHAnsi" w:hAnsiTheme="minorHAnsi" w:cs="AppleSystemUIFont"/>
          <w:color w:val="000000"/>
          <w:lang w:val="en-GB"/>
        </w:rPr>
        <w:t>attentional</w:t>
      </w:r>
      <w:proofErr w:type="spellEnd"/>
      <w:r w:rsidR="00305BB7" w:rsidRPr="00305BB7">
        <w:rPr>
          <w:rFonts w:asciiTheme="minorHAnsi" w:hAnsiTheme="minorHAnsi" w:cs="AppleSystemUIFont"/>
          <w:color w:val="000000"/>
          <w:lang w:val="en-GB"/>
        </w:rPr>
        <w:t xml:space="preserve"> networks during dual-tasking in </w:t>
      </w:r>
      <w:r w:rsidR="00980003">
        <w:rPr>
          <w:rFonts w:asciiTheme="minorHAnsi" w:hAnsiTheme="minorHAnsi" w:cs="AppleSystemUIFont"/>
          <w:color w:val="000000"/>
          <w:lang w:val="en-GB"/>
        </w:rPr>
        <w:t>people with Parkinson’s disease</w:t>
      </w:r>
      <w:r w:rsidR="00305BB7">
        <w:rPr>
          <w:rFonts w:asciiTheme="minorHAnsi" w:hAnsiTheme="minorHAnsi" w:cs="AppleSystemUIFont"/>
          <w:color w:val="000000"/>
          <w:lang w:val="en-GB"/>
        </w:rPr>
        <w:t>.</w:t>
      </w:r>
      <w:r w:rsidR="00B562AC">
        <w:rPr>
          <w:rFonts w:asciiTheme="minorHAnsi" w:hAnsiTheme="minorHAnsi" w:cs="AppleSystemUIFont"/>
          <w:color w:val="000000"/>
          <w:lang w:val="en-GB"/>
        </w:rPr>
        <w:t xml:space="preserve"> </w:t>
      </w:r>
      <w:commentRangeStart w:id="0"/>
      <w:r w:rsidR="00B562AC">
        <w:rPr>
          <w:rFonts w:asciiTheme="minorHAnsi" w:hAnsiTheme="minorHAnsi" w:cs="AppleSystemUIFont"/>
          <w:color w:val="000000"/>
          <w:lang w:val="en-GB"/>
        </w:rPr>
        <w:t xml:space="preserve">The amplitude of the P300 has been shown to be impacted by the motor response (Salisbury et al (2003)). </w:t>
      </w:r>
      <w:commentRangeEnd w:id="0"/>
      <w:r w:rsidR="00B562AC">
        <w:rPr>
          <w:rStyle w:val="CommentReference"/>
        </w:rPr>
        <w:commentReference w:id="0"/>
      </w:r>
    </w:p>
    <w:p w:rsidR="00305BB7" w:rsidRDefault="00305BB7" w:rsidP="003E076F">
      <w:pPr>
        <w:spacing w:line="360" w:lineRule="auto"/>
        <w:rPr>
          <w:rFonts w:asciiTheme="minorHAnsi" w:hAnsiTheme="minorHAnsi" w:cs="AppleSystemUIFont"/>
          <w:color w:val="000000"/>
          <w:lang w:val="en-GB"/>
        </w:rPr>
      </w:pPr>
    </w:p>
    <w:p w:rsidR="00094ACB" w:rsidRDefault="00305BB7" w:rsidP="003E076F">
      <w:pPr>
        <w:spacing w:line="360" w:lineRule="auto"/>
        <w:rPr>
          <w:rFonts w:asciiTheme="minorHAnsi" w:hAnsiTheme="minorHAnsi" w:cs="AppleSystemUIFont"/>
          <w:color w:val="000000"/>
          <w:lang w:val="en-GB"/>
        </w:rPr>
      </w:pPr>
      <w:r>
        <w:rPr>
          <w:rFonts w:asciiTheme="minorHAnsi" w:hAnsiTheme="minorHAnsi" w:cs="AppleSystemUIFont"/>
          <w:color w:val="000000"/>
          <w:lang w:val="en-GB"/>
        </w:rPr>
        <w:t xml:space="preserve">We have previously described results of a visual oddball in </w:t>
      </w:r>
      <w:r w:rsidR="002C6896">
        <w:rPr>
          <w:rFonts w:asciiTheme="minorHAnsi" w:hAnsiTheme="minorHAnsi" w:cs="AppleSystemUIFont"/>
          <w:color w:val="000000"/>
          <w:lang w:val="en-GB"/>
        </w:rPr>
        <w:t xml:space="preserve">20 </w:t>
      </w:r>
      <w:r>
        <w:rPr>
          <w:rFonts w:asciiTheme="minorHAnsi" w:hAnsiTheme="minorHAnsi" w:cs="AppleSystemUIFont"/>
          <w:color w:val="000000"/>
          <w:lang w:val="en-GB"/>
        </w:rPr>
        <w:t>people with Parkinson’s disease with and without freezing of gait while seated</w:t>
      </w:r>
      <w:r w:rsidR="00655627">
        <w:rPr>
          <w:rFonts w:asciiTheme="minorHAnsi" w:hAnsiTheme="minorHAnsi" w:cs="AppleSystemUIFont"/>
          <w:color w:val="000000"/>
          <w:lang w:val="en-GB"/>
        </w:rPr>
        <w:t xml:space="preserve"> </w:t>
      </w:r>
      <w:r w:rsidR="00140A64">
        <w:rPr>
          <w:rFonts w:asciiTheme="minorHAnsi" w:hAnsiTheme="minorHAnsi" w:cs="AppleSystemUIFont"/>
          <w:color w:val="000000"/>
          <w:lang w:val="en-GB"/>
        </w:rPr>
        <w:fldChar w:fldCharType="begin"/>
      </w:r>
      <w:r w:rsidR="00655627">
        <w:rPr>
          <w:rFonts w:asciiTheme="minorHAnsi" w:hAnsiTheme="minorHAnsi" w:cs="AppleSystemUIFont"/>
          <w:color w:val="000000"/>
          <w:lang w:val="en-GB"/>
        </w:rPr>
        <w:instrText xml:space="preserve"> ADDIN ZOTERO_ITEM CSL_CITATION {"citationID":"azDDmErI","properties":{"formattedCitation":"(Butler et al. 2017)","plainCitation":"(Butler et al. 2017)","noteIndex":0},"citationItems":[{"id":1414,"uris":["http://zotero.org/users/2372420/items/69W8DZFS"],"uri":["http://zotero.org/users/2372420/items/69W8DZFS"],"itemData":{"id":1414,"type":"article-journal","title":"Motor preparation rather than decision-making differentiates Parkinson's disease patients with and without freezing of gait","container-title":"Clinical Neurophysiology: Official Journal of the International Federation of Clinical Neurophysiology","page":"463-471","volume":"128","issue":"3","source":"PubMed","abstract":"OBJECTIVE: Freezing of gait (FOG) is a brief, episodic phenomenon affecting over half of people with Parkinson's disease (PD) and leads to significant morbidity. The pathophysiology of FOG remains poorly understood but is associated with deficits in cognitive function and motor preparation.\nMETHOD: We studied 20 people with PD (10 with FOG, 10 without FOG) and performed a timed response target detection task while electroencephalographic data were acquired. We analysed the data to detect and examine cortical markers of cognitive decision making (P3b or centroparietal positivity, CPP) and motor readiness potential. We analysed current source density (CSD) to increase spatial resolution and allow identification of distinct signals.\nRESULTS: There was no difference in the P3b/CPP response between people with PD with and without FOG, suggesting equivalent cognitive processing with respect to decision-making. However, the FOG group had significant difference with an earlier onset and larger amplitude of the lateralized readiness potential. Furthermore, the amplitude of the lateralised readiness potential correlated strongly with total Frontal Assessment Battery score.\nCONCLUSIONS: The difference in lateralized readiness potentials may reflect excessive recruitment of lateral premotor areas to compensate for dysfunction of the supplementary motor area and resultant loss of automatic motor control. This early, excessive recruitment of frontal networks occurs in spite of equivalent motor scores and reaction times between groups.\nSIGNIFICANCE: The saturation of frontal processing mechanisms could help explain deficits in attentional set-shifting, dual-tasking and response inhibition which are frequently reported in FOG.","DOI":"10.1016/j.clinph.2016.12.019","ISSN":"1872-8952","note":"PMID: 28160752","journalAbbreviation":"Clin Neurophysiol","language":"eng","author":[{"family":"Butler","given":"John S."},{"family":"Fearon","given":"Conor"},{"family":"Killane","given":"Isabelle"},{"family":"Waechter","given":"Saskia M."},{"family":"Reilly","given":"Richard B."},{"family":"Lynch","given":"Timothy"}],"issued":{"date-parts":[["2017"]]}}}],"schema":"https://github.com/citation-style-language/schema/raw/master/csl-citation.json"} </w:instrText>
      </w:r>
      <w:r w:rsidR="00140A64">
        <w:rPr>
          <w:rFonts w:asciiTheme="minorHAnsi" w:hAnsiTheme="minorHAnsi" w:cs="AppleSystemUIFont"/>
          <w:color w:val="000000"/>
          <w:lang w:val="en-GB"/>
        </w:rPr>
        <w:fldChar w:fldCharType="separate"/>
      </w:r>
      <w:r w:rsidR="00655627">
        <w:rPr>
          <w:rFonts w:asciiTheme="minorHAnsi" w:hAnsiTheme="minorHAnsi" w:cs="AppleSystemUIFont"/>
          <w:noProof/>
          <w:color w:val="000000"/>
          <w:lang w:val="en-GB"/>
        </w:rPr>
        <w:t>(Butler et al. 2017)</w:t>
      </w:r>
      <w:r w:rsidR="00140A64">
        <w:rPr>
          <w:rFonts w:asciiTheme="minorHAnsi" w:hAnsiTheme="minorHAnsi" w:cs="AppleSystemUIFont"/>
          <w:color w:val="000000"/>
          <w:lang w:val="en-GB"/>
        </w:rPr>
        <w:fldChar w:fldCharType="end"/>
      </w:r>
      <w:r w:rsidR="002C6896">
        <w:rPr>
          <w:rFonts w:asciiTheme="minorHAnsi" w:hAnsiTheme="minorHAnsi" w:cs="AppleSystemUIFont"/>
          <w:color w:val="000000"/>
          <w:lang w:val="en-GB"/>
        </w:rPr>
        <w:t>. Employing a standard event-related potential analysis (similar to that in Maiden et al.), we initially demonstrated differences in P300 amplitudes in between Parkinson’s patients with and wit</w:t>
      </w:r>
      <w:r w:rsidR="006C51B4">
        <w:rPr>
          <w:rFonts w:asciiTheme="minorHAnsi" w:hAnsiTheme="minorHAnsi" w:cs="AppleSystemUIFont"/>
          <w:color w:val="000000"/>
          <w:lang w:val="en-GB"/>
        </w:rPr>
        <w:t>hout freezing of gait (Figure 1A</w:t>
      </w:r>
      <w:r w:rsidR="002C6896">
        <w:rPr>
          <w:rFonts w:asciiTheme="minorHAnsi" w:hAnsiTheme="minorHAnsi" w:cs="AppleSystemUIFont"/>
          <w:color w:val="000000"/>
          <w:lang w:val="en-GB"/>
        </w:rPr>
        <w:t xml:space="preserve">). However, the </w:t>
      </w:r>
      <w:r w:rsidR="00B562AC">
        <w:rPr>
          <w:rFonts w:asciiTheme="minorHAnsi" w:hAnsiTheme="minorHAnsi" w:cs="AppleSystemUIFont"/>
          <w:color w:val="000000"/>
          <w:lang w:val="en-GB"/>
        </w:rPr>
        <w:t xml:space="preserve">scalp distribution of energy </w:t>
      </w:r>
      <w:proofErr w:type="spellStart"/>
      <w:r w:rsidR="00B562AC">
        <w:rPr>
          <w:rFonts w:asciiTheme="minorHAnsi" w:hAnsiTheme="minorHAnsi" w:cs="AppleSystemUIFont"/>
          <w:color w:val="000000"/>
          <w:lang w:val="en-GB"/>
        </w:rPr>
        <w:t>centered</w:t>
      </w:r>
      <w:proofErr w:type="spellEnd"/>
      <w:r w:rsidR="00B562AC">
        <w:rPr>
          <w:rFonts w:asciiTheme="minorHAnsi" w:hAnsiTheme="minorHAnsi" w:cs="AppleSystemUIFont"/>
          <w:color w:val="000000"/>
          <w:lang w:val="en-GB"/>
        </w:rPr>
        <w:t xml:space="preserve"> </w:t>
      </w:r>
      <w:proofErr w:type="gramStart"/>
      <w:r w:rsidR="00B562AC">
        <w:rPr>
          <w:rFonts w:asciiTheme="minorHAnsi" w:hAnsiTheme="minorHAnsi" w:cs="AppleSystemUIFont"/>
          <w:color w:val="000000"/>
          <w:lang w:val="en-GB"/>
        </w:rPr>
        <w:t>around</w:t>
      </w:r>
      <w:proofErr w:type="gramEnd"/>
      <w:r w:rsidR="00B562AC">
        <w:rPr>
          <w:rFonts w:asciiTheme="minorHAnsi" w:hAnsiTheme="minorHAnsi" w:cs="AppleSystemUIFont"/>
          <w:color w:val="000000"/>
          <w:lang w:val="en-GB"/>
        </w:rPr>
        <w:t xml:space="preserve"> the P300 </w:t>
      </w:r>
      <w:r w:rsidR="002C6896">
        <w:rPr>
          <w:rFonts w:asciiTheme="minorHAnsi" w:hAnsiTheme="minorHAnsi" w:cs="AppleSystemUIFont"/>
          <w:color w:val="000000"/>
          <w:lang w:val="en-GB"/>
        </w:rPr>
        <w:t xml:space="preserve">showed </w:t>
      </w:r>
      <w:r w:rsidR="00B562AC">
        <w:rPr>
          <w:rFonts w:asciiTheme="minorHAnsi" w:hAnsiTheme="minorHAnsi" w:cs="AppleSystemUIFont"/>
          <w:color w:val="000000"/>
          <w:lang w:val="en-GB"/>
        </w:rPr>
        <w:t xml:space="preserve">a different story </w:t>
      </w:r>
      <w:r w:rsidR="00094ACB">
        <w:rPr>
          <w:rFonts w:asciiTheme="minorHAnsi" w:hAnsiTheme="minorHAnsi" w:cs="AppleSystemUIFont"/>
          <w:color w:val="000000"/>
          <w:lang w:val="en-GB"/>
        </w:rPr>
        <w:t>(Figure 1</w:t>
      </w:r>
      <w:r w:rsidR="006C51B4">
        <w:rPr>
          <w:rFonts w:asciiTheme="minorHAnsi" w:hAnsiTheme="minorHAnsi" w:cs="AppleSystemUIFont"/>
          <w:color w:val="000000"/>
          <w:lang w:val="en-GB"/>
        </w:rPr>
        <w:t>B)</w:t>
      </w:r>
      <w:r w:rsidR="002C6896">
        <w:rPr>
          <w:rFonts w:asciiTheme="minorHAnsi" w:hAnsiTheme="minorHAnsi" w:cs="AppleSystemUIFont"/>
          <w:color w:val="000000"/>
          <w:lang w:val="en-GB"/>
        </w:rPr>
        <w:t>. The non-freezing</w:t>
      </w:r>
      <w:r w:rsidR="002C6896" w:rsidRPr="002C6896">
        <w:rPr>
          <w:rFonts w:asciiTheme="minorHAnsi" w:hAnsiTheme="minorHAnsi" w:cs="AppleSystemUIFont"/>
          <w:color w:val="000000"/>
          <w:lang w:val="en-GB"/>
        </w:rPr>
        <w:t xml:space="preserve"> </w:t>
      </w:r>
      <w:r w:rsidR="002C6896">
        <w:rPr>
          <w:rFonts w:asciiTheme="minorHAnsi" w:hAnsiTheme="minorHAnsi" w:cs="AppleSystemUIFont"/>
          <w:color w:val="000000"/>
          <w:lang w:val="en-GB"/>
        </w:rPr>
        <w:t>group displayed a well-</w:t>
      </w:r>
      <w:r w:rsidR="002C6896" w:rsidRPr="002C6896">
        <w:rPr>
          <w:rFonts w:asciiTheme="minorHAnsi" w:hAnsiTheme="minorHAnsi" w:cs="AppleSystemUIFont"/>
          <w:color w:val="000000"/>
          <w:lang w:val="en-GB"/>
        </w:rPr>
        <w:t xml:space="preserve">defined signal focus over </w:t>
      </w:r>
      <w:proofErr w:type="spellStart"/>
      <w:r w:rsidR="002C6896" w:rsidRPr="002C6896">
        <w:rPr>
          <w:rFonts w:asciiTheme="minorHAnsi" w:hAnsiTheme="minorHAnsi" w:cs="AppleSystemUIFont"/>
          <w:color w:val="000000"/>
          <w:lang w:val="en-GB"/>
        </w:rPr>
        <w:t>centroparietal</w:t>
      </w:r>
      <w:proofErr w:type="spellEnd"/>
      <w:r w:rsidR="002C6896" w:rsidRPr="002C6896">
        <w:rPr>
          <w:rFonts w:asciiTheme="minorHAnsi" w:hAnsiTheme="minorHAnsi" w:cs="AppleSystemUIFont"/>
          <w:color w:val="000000"/>
          <w:lang w:val="en-GB"/>
        </w:rPr>
        <w:t xml:space="preserve"> area</w:t>
      </w:r>
      <w:r w:rsidR="00655627">
        <w:rPr>
          <w:rFonts w:asciiTheme="minorHAnsi" w:hAnsiTheme="minorHAnsi" w:cs="AppleSystemUIFont"/>
          <w:color w:val="000000"/>
          <w:lang w:val="en-GB"/>
        </w:rPr>
        <w:t>,</w:t>
      </w:r>
      <w:r w:rsidR="002C6896" w:rsidRPr="002C6896">
        <w:rPr>
          <w:rFonts w:asciiTheme="minorHAnsi" w:hAnsiTheme="minorHAnsi" w:cs="AppleSystemUIFont"/>
          <w:color w:val="000000"/>
          <w:lang w:val="en-GB"/>
        </w:rPr>
        <w:t xml:space="preserve"> as is often seen in</w:t>
      </w:r>
      <w:r w:rsidR="002C6896">
        <w:rPr>
          <w:rFonts w:asciiTheme="minorHAnsi" w:hAnsiTheme="minorHAnsi" w:cs="AppleSystemUIFont"/>
          <w:color w:val="000000"/>
          <w:lang w:val="en-GB"/>
        </w:rPr>
        <w:t xml:space="preserve"> P300 in</w:t>
      </w:r>
      <w:r w:rsidR="002C6896" w:rsidRPr="002C6896">
        <w:rPr>
          <w:rFonts w:asciiTheme="minorHAnsi" w:hAnsiTheme="minorHAnsi" w:cs="AppleSystemUIFont"/>
          <w:color w:val="000000"/>
          <w:lang w:val="en-GB"/>
        </w:rPr>
        <w:t xml:space="preserve"> healthy subjects. The energy in </w:t>
      </w:r>
      <w:r w:rsidR="002C6896">
        <w:rPr>
          <w:rFonts w:asciiTheme="minorHAnsi" w:hAnsiTheme="minorHAnsi" w:cs="AppleSystemUIFont"/>
          <w:color w:val="000000"/>
          <w:lang w:val="en-GB"/>
        </w:rPr>
        <w:t>the freezing group, however,</w:t>
      </w:r>
      <w:r w:rsidR="002C6896" w:rsidRPr="002C6896">
        <w:rPr>
          <w:rFonts w:asciiTheme="minorHAnsi" w:hAnsiTheme="minorHAnsi" w:cs="AppleSystemUIFont"/>
          <w:color w:val="000000"/>
          <w:lang w:val="en-GB"/>
        </w:rPr>
        <w:t xml:space="preserve"> </w:t>
      </w:r>
      <w:r w:rsidR="002C6896">
        <w:rPr>
          <w:rFonts w:asciiTheme="minorHAnsi" w:hAnsiTheme="minorHAnsi" w:cs="AppleSystemUIFont"/>
          <w:color w:val="000000"/>
          <w:lang w:val="en-GB"/>
        </w:rPr>
        <w:t>was</w:t>
      </w:r>
      <w:r w:rsidR="002C6896" w:rsidRPr="002C6896">
        <w:rPr>
          <w:rFonts w:asciiTheme="minorHAnsi" w:hAnsiTheme="minorHAnsi" w:cs="AppleSystemUIFont"/>
          <w:color w:val="000000"/>
          <w:lang w:val="en-GB"/>
        </w:rPr>
        <w:t xml:space="preserve"> more diffuse, with spread</w:t>
      </w:r>
      <w:r w:rsidR="002C6896">
        <w:rPr>
          <w:rFonts w:asciiTheme="minorHAnsi" w:hAnsiTheme="minorHAnsi" w:cs="AppleSystemUIFont"/>
          <w:color w:val="000000"/>
          <w:lang w:val="en-GB"/>
        </w:rPr>
        <w:t xml:space="preserve"> towards the right frontal area</w:t>
      </w:r>
      <w:r w:rsidR="00483058">
        <w:rPr>
          <w:rFonts w:asciiTheme="minorHAnsi" w:hAnsiTheme="minorHAnsi" w:cs="AppleSystemUIFont"/>
          <w:color w:val="000000"/>
          <w:lang w:val="en-GB"/>
        </w:rPr>
        <w:t xml:space="preserve"> (</w:t>
      </w:r>
      <w:r w:rsidR="00702943">
        <w:rPr>
          <w:rFonts w:asciiTheme="minorHAnsi" w:hAnsiTheme="minorHAnsi" w:cs="AppleSystemUIFont"/>
          <w:color w:val="000000"/>
          <w:lang w:val="en-GB"/>
        </w:rPr>
        <w:t>solid</w:t>
      </w:r>
      <w:r w:rsidR="00483058">
        <w:rPr>
          <w:rFonts w:asciiTheme="minorHAnsi" w:hAnsiTheme="minorHAnsi" w:cs="AppleSystemUIFont"/>
          <w:color w:val="000000"/>
          <w:lang w:val="en-GB"/>
        </w:rPr>
        <w:t xml:space="preserve"> arrow)</w:t>
      </w:r>
      <w:r w:rsidR="002C6896">
        <w:rPr>
          <w:rFonts w:asciiTheme="minorHAnsi" w:hAnsiTheme="minorHAnsi" w:cs="AppleSystemUIFont"/>
          <w:color w:val="000000"/>
          <w:lang w:val="en-GB"/>
        </w:rPr>
        <w:t>, raising</w:t>
      </w:r>
      <w:r w:rsidR="002C6896" w:rsidRPr="002C6896">
        <w:rPr>
          <w:rFonts w:asciiTheme="minorHAnsi" w:hAnsiTheme="minorHAnsi" w:cs="AppleSystemUIFont"/>
          <w:color w:val="000000"/>
          <w:lang w:val="en-GB"/>
        </w:rPr>
        <w:t xml:space="preserve"> the pos</w:t>
      </w:r>
      <w:r w:rsidR="002C6896">
        <w:rPr>
          <w:rFonts w:asciiTheme="minorHAnsi" w:hAnsiTheme="minorHAnsi" w:cs="AppleSystemUIFont"/>
          <w:color w:val="000000"/>
          <w:lang w:val="en-GB"/>
        </w:rPr>
        <w:t xml:space="preserve">sibility that the </w:t>
      </w:r>
      <w:r w:rsidR="00B562AC">
        <w:rPr>
          <w:rFonts w:asciiTheme="minorHAnsi" w:hAnsiTheme="minorHAnsi" w:cs="AppleSystemUIFont"/>
          <w:color w:val="000000"/>
          <w:lang w:val="en-GB"/>
        </w:rPr>
        <w:t xml:space="preserve">signal </w:t>
      </w:r>
      <w:r w:rsidR="002C6896">
        <w:rPr>
          <w:rFonts w:asciiTheme="minorHAnsi" w:hAnsiTheme="minorHAnsi" w:cs="AppleSystemUIFont"/>
          <w:color w:val="000000"/>
          <w:lang w:val="en-GB"/>
        </w:rPr>
        <w:t>seen was</w:t>
      </w:r>
      <w:r w:rsidR="002C6896" w:rsidRPr="002C6896">
        <w:rPr>
          <w:rFonts w:asciiTheme="minorHAnsi" w:hAnsiTheme="minorHAnsi" w:cs="AppleSystemUIFont"/>
          <w:color w:val="000000"/>
          <w:lang w:val="en-GB"/>
        </w:rPr>
        <w:t xml:space="preserve"> a combination of two separate sources</w:t>
      </w:r>
      <w:r w:rsidR="00AD76DF">
        <w:rPr>
          <w:rFonts w:asciiTheme="minorHAnsi" w:hAnsiTheme="minorHAnsi" w:cs="AppleSystemUIFont"/>
          <w:color w:val="000000"/>
          <w:lang w:val="en-GB"/>
        </w:rPr>
        <w:t xml:space="preserve"> the P300 and motor response</w:t>
      </w:r>
      <w:r w:rsidR="002C6896">
        <w:rPr>
          <w:rFonts w:asciiTheme="minorHAnsi" w:hAnsiTheme="minorHAnsi" w:cs="AppleSystemUIFont"/>
          <w:color w:val="000000"/>
          <w:lang w:val="en-GB"/>
        </w:rPr>
        <w:t xml:space="preserve">. </w:t>
      </w:r>
    </w:p>
    <w:p w:rsidR="00094ACB" w:rsidRDefault="00094ACB" w:rsidP="003E076F">
      <w:pPr>
        <w:spacing w:line="360" w:lineRule="auto"/>
        <w:rPr>
          <w:rFonts w:asciiTheme="minorHAnsi" w:hAnsiTheme="minorHAnsi" w:cs="AppleSystemUIFont"/>
          <w:color w:val="000000"/>
          <w:lang w:val="en-GB"/>
        </w:rPr>
      </w:pPr>
    </w:p>
    <w:p w:rsidR="00125629" w:rsidRDefault="002C6896" w:rsidP="003E076F">
      <w:pPr>
        <w:spacing w:line="360" w:lineRule="auto"/>
        <w:rPr>
          <w:rFonts w:asciiTheme="minorHAnsi" w:hAnsiTheme="minorHAnsi" w:cs="AppleSystemUIFont"/>
          <w:color w:val="000000"/>
          <w:lang w:val="en-GB"/>
        </w:rPr>
      </w:pPr>
      <w:r>
        <w:rPr>
          <w:rFonts w:asciiTheme="minorHAnsi" w:hAnsiTheme="minorHAnsi" w:cs="AppleSystemUIFont"/>
          <w:color w:val="000000"/>
          <w:lang w:val="en-GB"/>
        </w:rPr>
        <w:t>This motivated re-analysis of the data</w:t>
      </w:r>
      <w:r w:rsidR="00094ACB">
        <w:rPr>
          <w:rFonts w:asciiTheme="minorHAnsi" w:hAnsiTheme="minorHAnsi" w:cs="AppleSystemUIFont"/>
          <w:color w:val="000000"/>
          <w:lang w:val="en-GB"/>
        </w:rPr>
        <w:t>, using a current source density</w:t>
      </w:r>
      <w:r w:rsidR="006C51B4">
        <w:rPr>
          <w:rFonts w:asciiTheme="minorHAnsi" w:hAnsiTheme="minorHAnsi" w:cs="AppleSystemUIFont"/>
          <w:color w:val="000000"/>
          <w:lang w:val="en-GB"/>
        </w:rPr>
        <w:t xml:space="preserve"> (CSD)</w:t>
      </w:r>
      <w:r w:rsidR="008D4821">
        <w:rPr>
          <w:rFonts w:asciiTheme="minorHAnsi" w:hAnsiTheme="minorHAnsi" w:cs="AppleSystemUIFont"/>
          <w:color w:val="000000"/>
          <w:lang w:val="en-GB"/>
        </w:rPr>
        <w:t xml:space="preserve"> analysis</w:t>
      </w:r>
      <w:r w:rsidR="00094ACB">
        <w:rPr>
          <w:rFonts w:asciiTheme="minorHAnsi" w:hAnsiTheme="minorHAnsi" w:cs="AppleSystemUIFont"/>
          <w:color w:val="000000"/>
          <w:lang w:val="en-GB"/>
        </w:rPr>
        <w:t>.</w:t>
      </w:r>
      <w:r w:rsidR="008D4821">
        <w:rPr>
          <w:rFonts w:asciiTheme="minorHAnsi" w:hAnsiTheme="minorHAnsi" w:cs="AppleSystemUIFont"/>
          <w:color w:val="000000"/>
          <w:lang w:val="en-GB"/>
        </w:rPr>
        <w:t xml:space="preserve"> The CSD is a </w:t>
      </w:r>
      <w:proofErr w:type="spellStart"/>
      <w:r w:rsidR="008D4821">
        <w:rPr>
          <w:rFonts w:asciiTheme="minorHAnsi" w:hAnsiTheme="minorHAnsi" w:cs="AppleSystemUIFont"/>
          <w:color w:val="000000"/>
          <w:lang w:val="en-GB"/>
        </w:rPr>
        <w:t>Laplacian</w:t>
      </w:r>
      <w:proofErr w:type="spellEnd"/>
      <w:r w:rsidR="008D4821">
        <w:rPr>
          <w:rFonts w:asciiTheme="minorHAnsi" w:hAnsiTheme="minorHAnsi" w:cs="AppleSystemUIFont"/>
          <w:color w:val="000000"/>
          <w:lang w:val="en-GB"/>
        </w:rPr>
        <w:t xml:space="preserve"> transformation which </w:t>
      </w:r>
      <w:r w:rsidR="008D4821" w:rsidRPr="008D4821">
        <w:rPr>
          <w:rFonts w:asciiTheme="minorHAnsi" w:hAnsiTheme="minorHAnsi" w:cs="AppleSystemUIFont"/>
          <w:color w:val="000000"/>
          <w:lang w:val="en-GB"/>
        </w:rPr>
        <w:t>performs a spatial high pass filter on the ERP data, reducing interference from remote sources and current diffusions through the skull</w:t>
      </w:r>
      <w:r w:rsidR="008D4821">
        <w:rPr>
          <w:rFonts w:asciiTheme="minorHAnsi" w:hAnsiTheme="minorHAnsi" w:cs="AppleSystemUIFont"/>
          <w:color w:val="000000"/>
          <w:lang w:val="en-GB"/>
        </w:rPr>
        <w:t xml:space="preserve"> and, hence, </w:t>
      </w:r>
      <w:r w:rsidR="008D4821" w:rsidRPr="00094ACB">
        <w:rPr>
          <w:rFonts w:asciiTheme="minorHAnsi" w:hAnsiTheme="minorHAnsi" w:cs="AppleSystemUIFont"/>
          <w:color w:val="000000"/>
          <w:lang w:val="en-GB"/>
        </w:rPr>
        <w:t>improve</w:t>
      </w:r>
      <w:r w:rsidR="008D4821">
        <w:rPr>
          <w:rFonts w:asciiTheme="minorHAnsi" w:hAnsiTheme="minorHAnsi" w:cs="AppleSystemUIFont"/>
          <w:color w:val="000000"/>
          <w:lang w:val="en-GB"/>
        </w:rPr>
        <w:t>s spatial resolu</w:t>
      </w:r>
      <w:r w:rsidR="008D4821" w:rsidRPr="00094ACB">
        <w:rPr>
          <w:rFonts w:asciiTheme="minorHAnsi" w:hAnsiTheme="minorHAnsi" w:cs="AppleSystemUIFont"/>
          <w:color w:val="000000"/>
          <w:lang w:val="en-GB"/>
        </w:rPr>
        <w:t>tion</w:t>
      </w:r>
      <w:r w:rsidR="00EA34C9">
        <w:rPr>
          <w:rFonts w:asciiTheme="minorHAnsi" w:hAnsiTheme="minorHAnsi" w:cs="AppleSystemUIFont"/>
          <w:color w:val="000000"/>
          <w:lang w:val="en-GB"/>
        </w:rPr>
        <w:t xml:space="preserve"> </w:t>
      </w:r>
      <w:r w:rsidR="00140A64">
        <w:rPr>
          <w:rFonts w:asciiTheme="minorHAnsi" w:hAnsiTheme="minorHAnsi" w:cs="AppleSystemUIFont"/>
          <w:color w:val="000000"/>
          <w:lang w:val="en-GB"/>
        </w:rPr>
        <w:fldChar w:fldCharType="begin"/>
      </w:r>
      <w:r w:rsidR="00EA34C9">
        <w:rPr>
          <w:rFonts w:asciiTheme="minorHAnsi" w:hAnsiTheme="minorHAnsi" w:cs="AppleSystemUIFont"/>
          <w:color w:val="000000"/>
          <w:lang w:val="en-GB"/>
        </w:rPr>
        <w:instrText xml:space="preserve"> ADDIN ZOTERO_ITEM CSL_CITATION {"citationID":"OIpk3DLu","properties":{"formattedCitation":"(Kayser and Tenke 2006)","plainCitation":"(Kayser and Tenke 2006)","noteIndex":0},"citationItems":[{"id":452,"uris":["http://zotero.org/users/2372420/items/HEKIJDUJ"],"uri":["http://zotero.org/users/2372420/items/HEKIJDUJ"],"itemData":{"id":452,"type":"article-journal","title":"Principal components analysis of Laplacian waveforms as a generic method for identifying ERP generator patterns: I. Evaluation with auditory oddball tasks","container-title":"Clinical Neurophysiology: Official Journal of the International Federation of Clinical Neurophysiology","page":"348-368","volume":"117","issue":"2","source":"PubMed","abstract":"OBJECTIVE: To evaluate the effectiveness and comparability of PCA-based simplifications of ERP waveforms versus their reference-free Laplacian transformations for separating task- and response-related ERP generator patterns during auditory oddball tasks.\nMETHODS: Nose-referenced ERPs (31 sites total) were recorded from 66 right-handed adults during oddball tasks using syllables or tones. Response mode (left press, right press, silent count) and task was varied within subjects. Spherical spline current source density (CSD) waveforms were computed to sharpen ERP scalp topographies and eliminate volume-conducted contributions. ERP and CSD data were submitted to separate covariance-based, unrestricted temporal PCAs (Varimax) to disentangle temporally and spatially overlapping ERP and CSD components.\nRESULTS: Corresponding ERP and CSD factors were unambiguously related to known ERP components. For example, the dipolar organization of a central N1 was evident from factorized anterior sinks and posterior sources encompassing the Sylvian fissure. Factors associated with N2 were characterized by asymmetric frontolateral (tonal: frontotemporal R &gt; L) and parietotemporal (phonetic: parietotemporal L &gt; R) sinks for targets. A single ERP factor summarized parietal P3 activity, along with an anterior negativity. In contrast, two CSD factors peaking at 360 and 560 ms distinguished a parietal P3 source with an anterior sink from a centroparietal P3 source with a sharply localized Fz sink. A smaller parietal but larger left temporal P3 source was found for silent count compared to button press. Left or right press produced opposite, region-specific asymmetries originating from central sites, modulating the N2/P3 complex.\nCONCLUSIONS: CSD transformation is shown to be a valuable preprocessing step for PCA of ERP data, providing a unique, physiologically meaningful solution to the ubiquitous reference problem. By reducing ERP redundancy and producing sharper, simpler topographies, and without losing or distorting any effects of interest, the CSD-PCA solution replicated and extended previous task- and response-related findings.\nSIGNIFICANCE: Eliminating ambiguities of the recording reference, the combined CSD-PCA approach systematically bridges between montage-dependent scalp potentials and distinct, anatomically-relevant current generators, and shows promise as a comprehensive, generic strategy for ERP analysis.","DOI":"10.1016/j.clinph.2005.08.034","ISSN":"1388-2457","note":"PMID: 16356767","shortTitle":"Principal components analysis of Laplacian waveforms as a generic method for identifying ERP generator patterns","journalAbbreviation":"Clin Neurophysiol","language":"eng","author":[{"family":"Kayser","given":"Jürgen"},{"family":"Tenke","given":"Craig E."}],"issued":{"date-parts":[["2006",2]]}}}],"schema":"https://github.com/citation-style-language/schema/raw/master/csl-citation.json"} </w:instrText>
      </w:r>
      <w:r w:rsidR="00140A64">
        <w:rPr>
          <w:rFonts w:asciiTheme="minorHAnsi" w:hAnsiTheme="minorHAnsi" w:cs="AppleSystemUIFont"/>
          <w:color w:val="000000"/>
          <w:lang w:val="en-GB"/>
        </w:rPr>
        <w:fldChar w:fldCharType="separate"/>
      </w:r>
      <w:r w:rsidR="00EA34C9">
        <w:rPr>
          <w:rFonts w:asciiTheme="minorHAnsi" w:hAnsiTheme="minorHAnsi" w:cs="AppleSystemUIFont"/>
          <w:noProof/>
          <w:color w:val="000000"/>
          <w:lang w:val="en-GB"/>
        </w:rPr>
        <w:t>(Kayser and Tenke 2006)</w:t>
      </w:r>
      <w:r w:rsidR="00140A64">
        <w:rPr>
          <w:rFonts w:asciiTheme="minorHAnsi" w:hAnsiTheme="minorHAnsi" w:cs="AppleSystemUIFont"/>
          <w:color w:val="000000"/>
          <w:lang w:val="en-GB"/>
        </w:rPr>
        <w:fldChar w:fldCharType="end"/>
      </w:r>
      <w:r w:rsidR="008D4821">
        <w:rPr>
          <w:rFonts w:asciiTheme="minorHAnsi" w:hAnsiTheme="minorHAnsi" w:cs="AppleSystemUIFont"/>
          <w:color w:val="000000"/>
          <w:lang w:val="en-GB"/>
        </w:rPr>
        <w:t xml:space="preserve">. </w:t>
      </w:r>
      <w:r w:rsidR="006C51B4">
        <w:rPr>
          <w:rFonts w:asciiTheme="minorHAnsi" w:hAnsiTheme="minorHAnsi" w:cs="AppleSystemUIFont"/>
          <w:color w:val="000000"/>
          <w:lang w:val="en-GB"/>
        </w:rPr>
        <w:t xml:space="preserve">The CSD </w:t>
      </w:r>
      <w:proofErr w:type="spellStart"/>
      <w:r w:rsidR="006C51B4">
        <w:rPr>
          <w:rFonts w:asciiTheme="minorHAnsi" w:hAnsiTheme="minorHAnsi" w:cs="AppleSystemUIFont"/>
          <w:color w:val="000000"/>
          <w:lang w:val="en-GB"/>
        </w:rPr>
        <w:t>topoplots</w:t>
      </w:r>
      <w:proofErr w:type="spellEnd"/>
      <w:r w:rsidR="006C51B4">
        <w:rPr>
          <w:rFonts w:asciiTheme="minorHAnsi" w:hAnsiTheme="minorHAnsi" w:cs="AppleSystemUIFont"/>
          <w:color w:val="000000"/>
          <w:lang w:val="en-GB"/>
        </w:rPr>
        <w:t xml:space="preserve"> </w:t>
      </w:r>
      <w:r w:rsidR="006C51B4" w:rsidRPr="006C51B4">
        <w:rPr>
          <w:rFonts w:asciiTheme="minorHAnsi" w:hAnsiTheme="minorHAnsi" w:cs="AppleSystemUIFont"/>
          <w:color w:val="000000"/>
          <w:lang w:val="en-GB"/>
        </w:rPr>
        <w:t xml:space="preserve">show that the non-freezing group maintain a localised response over </w:t>
      </w:r>
      <w:proofErr w:type="spellStart"/>
      <w:r w:rsidR="006C51B4" w:rsidRPr="006C51B4">
        <w:rPr>
          <w:rFonts w:asciiTheme="minorHAnsi" w:hAnsiTheme="minorHAnsi" w:cs="AppleSystemUIFont"/>
          <w:color w:val="000000"/>
          <w:lang w:val="en-GB"/>
        </w:rPr>
        <w:t>centroparietal</w:t>
      </w:r>
      <w:proofErr w:type="spellEnd"/>
      <w:r w:rsidR="006C51B4" w:rsidRPr="006C51B4">
        <w:rPr>
          <w:rFonts w:asciiTheme="minorHAnsi" w:hAnsiTheme="minorHAnsi" w:cs="AppleSystemUIFont"/>
          <w:color w:val="000000"/>
          <w:lang w:val="en-GB"/>
        </w:rPr>
        <w:t xml:space="preserve"> areas</w:t>
      </w:r>
      <w:r w:rsidR="00483058">
        <w:rPr>
          <w:rFonts w:asciiTheme="minorHAnsi" w:hAnsiTheme="minorHAnsi" w:cs="AppleSystemUIFont"/>
          <w:color w:val="000000"/>
          <w:lang w:val="en-GB"/>
        </w:rPr>
        <w:t xml:space="preserve"> (Figure 1C)</w:t>
      </w:r>
      <w:r w:rsidR="006C51B4" w:rsidRPr="006C51B4">
        <w:rPr>
          <w:rFonts w:asciiTheme="minorHAnsi" w:hAnsiTheme="minorHAnsi" w:cs="AppleSystemUIFont"/>
          <w:color w:val="000000"/>
          <w:lang w:val="en-GB"/>
        </w:rPr>
        <w:t>. The response</w:t>
      </w:r>
      <w:r w:rsidR="00483058">
        <w:rPr>
          <w:rFonts w:asciiTheme="minorHAnsi" w:hAnsiTheme="minorHAnsi" w:cs="AppleSystemUIFont"/>
          <w:color w:val="000000"/>
          <w:lang w:val="en-GB"/>
        </w:rPr>
        <w:t xml:space="preserve"> of the</w:t>
      </w:r>
      <w:r w:rsidR="006C51B4" w:rsidRPr="006C51B4">
        <w:rPr>
          <w:rFonts w:asciiTheme="minorHAnsi" w:hAnsiTheme="minorHAnsi" w:cs="AppleSystemUIFont"/>
          <w:color w:val="000000"/>
          <w:lang w:val="en-GB"/>
        </w:rPr>
        <w:t xml:space="preserve"> freezing group</w:t>
      </w:r>
      <w:r w:rsidR="00EA34C9">
        <w:rPr>
          <w:rFonts w:asciiTheme="minorHAnsi" w:hAnsiTheme="minorHAnsi" w:cs="AppleSystemUIFont"/>
          <w:color w:val="000000"/>
          <w:lang w:val="en-GB"/>
        </w:rPr>
        <w:t>,</w:t>
      </w:r>
      <w:r w:rsidR="006C51B4" w:rsidRPr="006C51B4">
        <w:rPr>
          <w:rFonts w:asciiTheme="minorHAnsi" w:hAnsiTheme="minorHAnsi" w:cs="AppleSystemUIFont"/>
          <w:color w:val="000000"/>
          <w:lang w:val="en-GB"/>
        </w:rPr>
        <w:t xml:space="preserve"> on the other hand</w:t>
      </w:r>
      <w:r w:rsidR="00EA34C9">
        <w:rPr>
          <w:rFonts w:asciiTheme="minorHAnsi" w:hAnsiTheme="minorHAnsi" w:cs="AppleSystemUIFont"/>
          <w:color w:val="000000"/>
          <w:lang w:val="en-GB"/>
        </w:rPr>
        <w:t>,</w:t>
      </w:r>
      <w:r w:rsidR="00483058">
        <w:rPr>
          <w:rFonts w:asciiTheme="minorHAnsi" w:hAnsiTheme="minorHAnsi" w:cs="AppleSystemUIFont"/>
          <w:color w:val="000000"/>
          <w:lang w:val="en-GB"/>
        </w:rPr>
        <w:t xml:space="preserve"> clearly</w:t>
      </w:r>
      <w:r w:rsidR="006C51B4" w:rsidRPr="006C51B4">
        <w:rPr>
          <w:rFonts w:asciiTheme="minorHAnsi" w:hAnsiTheme="minorHAnsi" w:cs="AppleSystemUIFont"/>
          <w:color w:val="000000"/>
          <w:lang w:val="en-GB"/>
        </w:rPr>
        <w:t xml:space="preserve"> consists of two separate signal foci (</w:t>
      </w:r>
      <w:r w:rsidR="00702943">
        <w:rPr>
          <w:rFonts w:asciiTheme="minorHAnsi" w:hAnsiTheme="minorHAnsi" w:cs="AppleSystemUIFont"/>
          <w:color w:val="000000"/>
          <w:lang w:val="en-GB"/>
        </w:rPr>
        <w:t>open</w:t>
      </w:r>
      <w:r w:rsidR="00483058">
        <w:rPr>
          <w:rFonts w:asciiTheme="minorHAnsi" w:hAnsiTheme="minorHAnsi" w:cs="AppleSystemUIFont"/>
          <w:color w:val="000000"/>
          <w:lang w:val="en-GB"/>
        </w:rPr>
        <w:t xml:space="preserve"> arrows), a</w:t>
      </w:r>
      <w:r w:rsidR="006C51B4" w:rsidRPr="006C51B4">
        <w:rPr>
          <w:rFonts w:asciiTheme="minorHAnsi" w:hAnsiTheme="minorHAnsi" w:cs="AppleSystemUIFont"/>
          <w:color w:val="000000"/>
          <w:lang w:val="en-GB"/>
        </w:rPr>
        <w:t xml:space="preserve"> </w:t>
      </w:r>
      <w:proofErr w:type="spellStart"/>
      <w:r w:rsidR="006C51B4" w:rsidRPr="006C51B4">
        <w:rPr>
          <w:rFonts w:asciiTheme="minorHAnsi" w:hAnsiTheme="minorHAnsi" w:cs="AppleSystemUIFont"/>
          <w:color w:val="000000"/>
          <w:lang w:val="en-GB"/>
        </w:rPr>
        <w:t>centroparietal</w:t>
      </w:r>
      <w:proofErr w:type="spellEnd"/>
      <w:r w:rsidR="006C51B4" w:rsidRPr="006C51B4">
        <w:rPr>
          <w:rFonts w:asciiTheme="minorHAnsi" w:hAnsiTheme="minorHAnsi" w:cs="AppleSystemUIFont"/>
          <w:color w:val="000000"/>
          <w:lang w:val="en-GB"/>
        </w:rPr>
        <w:t xml:space="preserve"> </w:t>
      </w:r>
      <w:r w:rsidR="006C51B4" w:rsidRPr="006C51B4">
        <w:rPr>
          <w:rFonts w:asciiTheme="minorHAnsi" w:hAnsiTheme="minorHAnsi" w:cs="AppleSystemUIFont"/>
          <w:color w:val="000000"/>
          <w:lang w:val="en-GB"/>
        </w:rPr>
        <w:lastRenderedPageBreak/>
        <w:t>response, similar to the non-freezers but also positive activity in the right frontal area (and negative activity in the left frontal area) which is distinct from</w:t>
      </w:r>
      <w:r w:rsidR="006B16BE">
        <w:rPr>
          <w:rFonts w:asciiTheme="minorHAnsi" w:hAnsiTheme="minorHAnsi" w:cs="AppleSystemUIFont"/>
          <w:color w:val="000000"/>
          <w:lang w:val="en-GB"/>
        </w:rPr>
        <w:t xml:space="preserve"> this </w:t>
      </w:r>
      <w:proofErr w:type="spellStart"/>
      <w:r w:rsidR="006B16BE">
        <w:rPr>
          <w:rFonts w:asciiTheme="minorHAnsi" w:hAnsiTheme="minorHAnsi" w:cs="AppleSystemUIFont"/>
          <w:color w:val="000000"/>
          <w:lang w:val="en-GB"/>
        </w:rPr>
        <w:t>centroparietal</w:t>
      </w:r>
      <w:proofErr w:type="spellEnd"/>
      <w:r w:rsidR="006B16BE">
        <w:rPr>
          <w:rFonts w:asciiTheme="minorHAnsi" w:hAnsiTheme="minorHAnsi" w:cs="AppleSystemUIFont"/>
          <w:color w:val="000000"/>
          <w:lang w:val="en-GB"/>
        </w:rPr>
        <w:t xml:space="preserve"> positivity</w:t>
      </w:r>
      <w:r w:rsidR="003B5456">
        <w:rPr>
          <w:rFonts w:asciiTheme="minorHAnsi" w:hAnsiTheme="minorHAnsi" w:cs="AppleSystemUIFont"/>
          <w:color w:val="000000"/>
          <w:lang w:val="en-GB"/>
        </w:rPr>
        <w:t xml:space="preserve"> (CPP)</w:t>
      </w:r>
      <w:r w:rsidR="006B16BE">
        <w:rPr>
          <w:rFonts w:asciiTheme="minorHAnsi" w:hAnsiTheme="minorHAnsi" w:cs="AppleSystemUIFont"/>
          <w:color w:val="000000"/>
          <w:lang w:val="en-GB"/>
        </w:rPr>
        <w:t xml:space="preserve">. We </w:t>
      </w:r>
      <w:r w:rsidR="00EA34C9">
        <w:rPr>
          <w:rFonts w:asciiTheme="minorHAnsi" w:hAnsiTheme="minorHAnsi" w:cs="AppleSystemUIFont"/>
          <w:color w:val="000000"/>
          <w:lang w:val="en-GB"/>
        </w:rPr>
        <w:t xml:space="preserve">have </w:t>
      </w:r>
      <w:r w:rsidR="006B16BE">
        <w:rPr>
          <w:rFonts w:asciiTheme="minorHAnsi" w:hAnsiTheme="minorHAnsi" w:cs="AppleSystemUIFont"/>
          <w:color w:val="000000"/>
          <w:lang w:val="en-GB"/>
        </w:rPr>
        <w:t>demonstrated that this</w:t>
      </w:r>
      <w:r w:rsidR="00460254">
        <w:rPr>
          <w:rFonts w:asciiTheme="minorHAnsi" w:hAnsiTheme="minorHAnsi" w:cs="AppleSystemUIFont"/>
          <w:color w:val="000000"/>
          <w:lang w:val="en-GB"/>
        </w:rPr>
        <w:t xml:space="preserve"> frontal signal is a movement-related cortical potential </w:t>
      </w:r>
      <w:r w:rsidR="00DA00D7" w:rsidRPr="00B2338D">
        <w:rPr>
          <w:rFonts w:ascii="Calibri" w:hAnsi="Calibri"/>
        </w:rPr>
        <w:t xml:space="preserve">which precedes voluntary or goal-directed movement and reflects activity in the motor cortex, </w:t>
      </w:r>
      <w:proofErr w:type="spellStart"/>
      <w:r w:rsidR="00DA00D7" w:rsidRPr="00B2338D">
        <w:rPr>
          <w:rFonts w:ascii="Calibri" w:hAnsi="Calibri"/>
        </w:rPr>
        <w:t>premotor</w:t>
      </w:r>
      <w:proofErr w:type="spellEnd"/>
      <w:r w:rsidR="00DA00D7" w:rsidRPr="00B2338D">
        <w:rPr>
          <w:rFonts w:ascii="Calibri" w:hAnsi="Calibri"/>
        </w:rPr>
        <w:t xml:space="preserve"> area (PMA) and supplementary motor area (SMA) </w:t>
      </w:r>
      <w:proofErr w:type="spellStart"/>
      <w:r w:rsidR="00DA00D7">
        <w:rPr>
          <w:rFonts w:ascii="Calibri" w:hAnsi="Calibri"/>
        </w:rPr>
        <w:t>contralateral</w:t>
      </w:r>
      <w:proofErr w:type="spellEnd"/>
      <w:r w:rsidR="00DA00D7">
        <w:rPr>
          <w:rFonts w:ascii="Calibri" w:hAnsi="Calibri"/>
        </w:rPr>
        <w:t xml:space="preserve"> to the side of the body in which the movement occurs </w:t>
      </w:r>
      <w:r w:rsidR="00140A64">
        <w:rPr>
          <w:rFonts w:ascii="Calibri" w:hAnsi="Calibri"/>
        </w:rPr>
        <w:fldChar w:fldCharType="begin"/>
      </w:r>
      <w:r w:rsidR="00DA00D7">
        <w:rPr>
          <w:rFonts w:ascii="Calibri" w:hAnsi="Calibri"/>
        </w:rPr>
        <w:instrText xml:space="preserve"> ADDIN ZOTERO_ITEM CSL_CITATION {"citationID":"YqOtbwRs","properties":{"formattedCitation":"(Shibasaki and Hallett 2006)","plainCitation":"(Shibasaki and Hallett 2006)","noteIndex":0},"citationItems":[{"id":416,"uris":["http://zotero.org/users/2372420/items/GWZM9VHS"],"uri":["http://zotero.org/users/2372420/items/GWZM9VHS"],"itemData":{"id":416,"type":"article-journal","title":"What is the Bereitschaftspotential?","container-title":"Clinical Neurophysiology","page":"2341-2356","volume":"117","issue":"11","source":"www.clinph-journal.com","abstract":"Since discovery of the slow negative electroencephalographic (EEG) activity preceding self-initiated movement by Kornhuber and Deecke [Kornhuber HH, Deecke L. Hirnpotentialänderungen bei Willkurbewegungen und passiven Bewegungen des Menschen: Bereitschaftspotential und reafferente Potentiale. Pflugers Archiv 1965;284:1–17], various source localization techniques in normal subjects and epicortical recording in epilepsy patients have disclosed the generator mechanisms of each identifiable component of movement-related cortical potentials (MRCPs) to some extent. The initial slow segment of BP, called ‘early BP’ in this article, begins about 2 s before the movement onset in the pre-supplementary motor area (pre-SMA) with no site-specificity and in the SMA proper according to the somatotopic organization, and shortly thereafter in the lateral premotor cortex bilaterally with relatively clear somatotopy. About 400 ms before the movement onset, the steeper negative slope, called ‘late BP’ in this article (also referred to as NS′), occurs in the contralateral primary motor cortex (M1) and lateral premotor cortex with precise somatotopy. These two phases of BP are differentially influenced by various factors, especially by complexity of the movement which enhances only the late BP. Event-related desynchronization (ERD) of beta frequency EEG band before self-initiated movements shows a different temporospatial pattern from that of the BP, suggesting different neuronal mechanisms for the two. BP has been applied for investigating pathophysiology of various movement disorders. Volitional motor inhibition or muscle relaxation is preceded by BP quite similar to that preceding voluntary muscle contraction. Since BP of typical waveforms and temporospatial pattern does not occur before organic involuntary movements, BP is used for detecting the participation of the ‘voluntary motor system’ in the generation of apparently involuntary movements in patients with psychogenic movement disorders. In view of Libet et al.’s report [Libet B, Gleason CA, Wright EW, Pearl DK. Time of conscious intention to act in relation to onset of cerebral activity (readiness-potential). The unconscious initiation of a freely voluntary act. Brain 1983;106:623–642] that the awareness of intention to move occurred much later than the onset of BP, the early BP might reflect, physiologically, slowly increasing cortical excitability and, behaviorally, subconscious readiness for the forthcoming movement. Whether the late BP reflects conscious preparation for intended movement or not remains to be clarified.","DOI":"10.1016/j.clinph.2006.04.025","ISSN":"1388-2457, 1872-8952","note":"PMID: 16876476","journalAbbreviation":"Clinical Neurophysiology","language":"English","author":[{"family":"Shibasaki","given":"Hiroshi"},{"family":"Hallett","given":"Mark"}],"issued":{"date-parts":[["2006",11,1]]}}}],"schema":"https://github.com/citation-style-language/schema/raw/master/csl-citation.json"} </w:instrText>
      </w:r>
      <w:r w:rsidR="00140A64">
        <w:rPr>
          <w:rFonts w:ascii="Calibri" w:hAnsi="Calibri"/>
        </w:rPr>
        <w:fldChar w:fldCharType="separate"/>
      </w:r>
      <w:r w:rsidR="00DA00D7">
        <w:rPr>
          <w:rFonts w:ascii="Calibri" w:hAnsi="Calibri"/>
          <w:noProof/>
        </w:rPr>
        <w:t>(Shibasaki and Hallett 2006)</w:t>
      </w:r>
      <w:r w:rsidR="00140A64">
        <w:rPr>
          <w:rFonts w:ascii="Calibri" w:hAnsi="Calibri"/>
        </w:rPr>
        <w:fldChar w:fldCharType="end"/>
      </w:r>
      <w:r w:rsidR="00EA34C9">
        <w:rPr>
          <w:rFonts w:asciiTheme="minorHAnsi" w:hAnsiTheme="minorHAnsi" w:cs="AppleSystemUIFont"/>
          <w:color w:val="000000"/>
          <w:lang w:val="en-GB"/>
        </w:rPr>
        <w:t xml:space="preserve">. This </w:t>
      </w:r>
      <w:r w:rsidR="00EE1CCF">
        <w:rPr>
          <w:rFonts w:asciiTheme="minorHAnsi" w:hAnsiTheme="minorHAnsi" w:cs="AppleSystemUIFont"/>
          <w:color w:val="000000"/>
          <w:lang w:val="en-GB"/>
        </w:rPr>
        <w:t xml:space="preserve">movement-related cortical </w:t>
      </w:r>
      <w:r w:rsidR="00EA34C9">
        <w:rPr>
          <w:rFonts w:asciiTheme="minorHAnsi" w:hAnsiTheme="minorHAnsi" w:cs="AppleSystemUIFont"/>
          <w:color w:val="000000"/>
          <w:lang w:val="en-GB"/>
        </w:rPr>
        <w:t>potential</w:t>
      </w:r>
      <w:r w:rsidR="00460254">
        <w:rPr>
          <w:rFonts w:asciiTheme="minorHAnsi" w:hAnsiTheme="minorHAnsi" w:cs="AppleSystemUIFont"/>
          <w:color w:val="000000"/>
          <w:lang w:val="en-GB"/>
        </w:rPr>
        <w:t xml:space="preserve"> was significantly larger in the freezing group compared to the non-freezing group</w:t>
      </w:r>
      <w:r w:rsidR="00EA34C9">
        <w:rPr>
          <w:rFonts w:asciiTheme="minorHAnsi" w:hAnsiTheme="minorHAnsi" w:cs="AppleSystemUIFont"/>
          <w:color w:val="000000"/>
          <w:lang w:val="en-GB"/>
        </w:rPr>
        <w:t xml:space="preserve"> and i</w:t>
      </w:r>
      <w:r w:rsidR="00EA34C9" w:rsidRPr="00655627">
        <w:rPr>
          <w:rFonts w:asciiTheme="minorHAnsi" w:hAnsiTheme="minorHAnsi" w:cs="AppleSystemUIFont"/>
          <w:color w:val="000000"/>
          <w:lang w:val="en-GB"/>
        </w:rPr>
        <w:t xml:space="preserve">nterference from this </w:t>
      </w:r>
      <w:r w:rsidR="00EE1CCF">
        <w:rPr>
          <w:rFonts w:asciiTheme="minorHAnsi" w:hAnsiTheme="minorHAnsi" w:cs="AppleSystemUIFont"/>
          <w:color w:val="000000"/>
          <w:lang w:val="en-GB"/>
        </w:rPr>
        <w:t>signal</w:t>
      </w:r>
      <w:r w:rsidR="00EA34C9" w:rsidRPr="00655627">
        <w:rPr>
          <w:rFonts w:asciiTheme="minorHAnsi" w:hAnsiTheme="minorHAnsi" w:cs="AppleSystemUIFont"/>
          <w:color w:val="000000"/>
          <w:lang w:val="en-GB"/>
        </w:rPr>
        <w:t xml:space="preserve"> </w:t>
      </w:r>
      <w:r w:rsidR="00EA34C9">
        <w:rPr>
          <w:rFonts w:asciiTheme="minorHAnsi" w:hAnsiTheme="minorHAnsi" w:cs="AppleSystemUIFont"/>
          <w:color w:val="000000"/>
          <w:lang w:val="en-GB"/>
        </w:rPr>
        <w:t xml:space="preserve">had </w:t>
      </w:r>
      <w:r w:rsidR="00EA34C9" w:rsidRPr="00655627">
        <w:rPr>
          <w:rFonts w:asciiTheme="minorHAnsi" w:hAnsiTheme="minorHAnsi" w:cs="AppleSystemUIFont"/>
          <w:color w:val="000000"/>
          <w:lang w:val="en-GB"/>
        </w:rPr>
        <w:t>led to underestimation of the ampl</w:t>
      </w:r>
      <w:r w:rsidR="00EA34C9">
        <w:rPr>
          <w:rFonts w:asciiTheme="minorHAnsi" w:hAnsiTheme="minorHAnsi" w:cs="AppleSystemUIFont"/>
          <w:color w:val="000000"/>
          <w:lang w:val="en-GB"/>
        </w:rPr>
        <w:t>itude of the P300</w:t>
      </w:r>
      <w:r w:rsidR="00EA34C9" w:rsidRPr="00655627">
        <w:rPr>
          <w:rFonts w:asciiTheme="minorHAnsi" w:hAnsiTheme="minorHAnsi" w:cs="AppleSystemUIFont"/>
          <w:color w:val="000000"/>
          <w:lang w:val="en-GB"/>
        </w:rPr>
        <w:t xml:space="preserve"> in the</w:t>
      </w:r>
      <w:r w:rsidR="00EA34C9">
        <w:rPr>
          <w:rFonts w:asciiTheme="minorHAnsi" w:hAnsiTheme="minorHAnsi" w:cs="AppleSystemUIFont"/>
          <w:color w:val="000000"/>
          <w:lang w:val="en-GB"/>
        </w:rPr>
        <w:t xml:space="preserve"> initial</w:t>
      </w:r>
      <w:r w:rsidR="00EA34C9" w:rsidRPr="00655627">
        <w:rPr>
          <w:rFonts w:asciiTheme="minorHAnsi" w:hAnsiTheme="minorHAnsi" w:cs="AppleSystemUIFont"/>
          <w:color w:val="000000"/>
          <w:lang w:val="en-GB"/>
        </w:rPr>
        <w:t xml:space="preserve"> ERP analysis</w:t>
      </w:r>
      <w:r w:rsidR="00460254">
        <w:rPr>
          <w:rFonts w:asciiTheme="minorHAnsi" w:hAnsiTheme="minorHAnsi" w:cs="AppleSystemUIFont"/>
          <w:color w:val="000000"/>
          <w:lang w:val="en-GB"/>
        </w:rPr>
        <w:t>. Re-</w:t>
      </w:r>
      <w:proofErr w:type="spellStart"/>
      <w:r w:rsidR="00460254">
        <w:rPr>
          <w:rFonts w:asciiTheme="minorHAnsi" w:hAnsiTheme="minorHAnsi" w:cs="AppleSystemUIFont"/>
          <w:color w:val="000000"/>
          <w:lang w:val="en-GB"/>
        </w:rPr>
        <w:t>analaysis</w:t>
      </w:r>
      <w:proofErr w:type="spellEnd"/>
      <w:r w:rsidR="00460254">
        <w:rPr>
          <w:rFonts w:asciiTheme="minorHAnsi" w:hAnsiTheme="minorHAnsi" w:cs="AppleSystemUIFont"/>
          <w:color w:val="000000"/>
          <w:lang w:val="en-GB"/>
        </w:rPr>
        <w:t xml:space="preserve"> of the </w:t>
      </w:r>
      <w:r w:rsidR="003B5456">
        <w:rPr>
          <w:rFonts w:asciiTheme="minorHAnsi" w:hAnsiTheme="minorHAnsi" w:cs="AppleSystemUIFont"/>
          <w:color w:val="000000"/>
          <w:lang w:val="en-GB"/>
        </w:rPr>
        <w:t>CPP</w:t>
      </w:r>
      <w:r w:rsidR="00460254">
        <w:rPr>
          <w:rFonts w:asciiTheme="minorHAnsi" w:hAnsiTheme="minorHAnsi" w:cs="AppleSystemUIFont"/>
          <w:color w:val="000000"/>
          <w:lang w:val="en-GB"/>
        </w:rPr>
        <w:t xml:space="preserve"> (the equivalent of the P300)</w:t>
      </w:r>
      <w:r w:rsidR="00EE1CCF">
        <w:rPr>
          <w:rFonts w:asciiTheme="minorHAnsi" w:hAnsiTheme="minorHAnsi" w:cs="AppleSystemUIFont"/>
          <w:color w:val="000000"/>
          <w:lang w:val="en-GB"/>
        </w:rPr>
        <w:t>,</w:t>
      </w:r>
      <w:r w:rsidR="00EA34C9">
        <w:rPr>
          <w:rFonts w:asciiTheme="minorHAnsi" w:hAnsiTheme="minorHAnsi" w:cs="AppleSystemUIFont"/>
          <w:color w:val="000000"/>
          <w:lang w:val="en-GB"/>
        </w:rPr>
        <w:t xml:space="preserve"> using the CSD approach</w:t>
      </w:r>
      <w:r w:rsidR="00460254">
        <w:rPr>
          <w:rFonts w:asciiTheme="minorHAnsi" w:hAnsiTheme="minorHAnsi" w:cs="AppleSystemUIFont"/>
          <w:color w:val="000000"/>
          <w:lang w:val="en-GB"/>
        </w:rPr>
        <w:t>, revealed that there was in fact no difference</w:t>
      </w:r>
      <w:r w:rsidR="00450FC5">
        <w:rPr>
          <w:rFonts w:asciiTheme="minorHAnsi" w:hAnsiTheme="minorHAnsi" w:cs="AppleSystemUIFont"/>
          <w:color w:val="000000"/>
          <w:lang w:val="en-GB"/>
        </w:rPr>
        <w:t xml:space="preserve"> in this potential</w:t>
      </w:r>
      <w:r w:rsidR="00460254">
        <w:rPr>
          <w:rFonts w:asciiTheme="minorHAnsi" w:hAnsiTheme="minorHAnsi" w:cs="AppleSystemUIFont"/>
          <w:color w:val="000000"/>
          <w:lang w:val="en-GB"/>
        </w:rPr>
        <w:t xml:space="preserve"> between groups</w:t>
      </w:r>
      <w:r w:rsidR="00A440A0">
        <w:rPr>
          <w:rFonts w:asciiTheme="minorHAnsi" w:hAnsiTheme="minorHAnsi" w:cs="AppleSystemUIFont"/>
          <w:color w:val="000000"/>
          <w:lang w:val="en-GB"/>
        </w:rPr>
        <w:t xml:space="preserve"> (Figure 1D)</w:t>
      </w:r>
      <w:r w:rsidR="00460254">
        <w:rPr>
          <w:rFonts w:asciiTheme="minorHAnsi" w:hAnsiTheme="minorHAnsi" w:cs="AppleSystemUIFont"/>
          <w:color w:val="000000"/>
          <w:lang w:val="en-GB"/>
        </w:rPr>
        <w:t>.</w:t>
      </w:r>
      <w:r w:rsidR="00655627">
        <w:rPr>
          <w:rFonts w:asciiTheme="minorHAnsi" w:hAnsiTheme="minorHAnsi" w:cs="AppleSystemUIFont"/>
          <w:color w:val="000000"/>
          <w:lang w:val="en-GB"/>
        </w:rPr>
        <w:t xml:space="preserve"> </w:t>
      </w:r>
    </w:p>
    <w:p w:rsidR="006C51B4" w:rsidRDefault="006C51B4" w:rsidP="003E076F">
      <w:pPr>
        <w:spacing w:line="360" w:lineRule="auto"/>
        <w:rPr>
          <w:rFonts w:asciiTheme="minorHAnsi" w:hAnsiTheme="minorHAnsi" w:cs="AppleSystemUIFont"/>
          <w:color w:val="000000"/>
          <w:lang w:val="en-GB"/>
        </w:rPr>
      </w:pPr>
    </w:p>
    <w:p w:rsidR="005636B4" w:rsidRDefault="00125629" w:rsidP="003E076F">
      <w:pPr>
        <w:spacing w:line="360" w:lineRule="auto"/>
        <w:rPr>
          <w:rFonts w:asciiTheme="minorHAnsi" w:hAnsiTheme="minorHAnsi" w:cs="AppleSystemUIFont"/>
          <w:noProof/>
          <w:color w:val="000000"/>
          <w:lang w:val="en-GB"/>
        </w:rPr>
      </w:pPr>
      <w:r>
        <w:rPr>
          <w:rFonts w:asciiTheme="minorHAnsi" w:hAnsiTheme="minorHAnsi" w:cs="AppleSystemUIFont"/>
          <w:color w:val="000000"/>
          <w:lang w:val="en-GB"/>
        </w:rPr>
        <w:t xml:space="preserve">In light of this, we wonder whether </w:t>
      </w:r>
      <w:proofErr w:type="spellStart"/>
      <w:r>
        <w:rPr>
          <w:rFonts w:asciiTheme="minorHAnsi" w:hAnsiTheme="minorHAnsi" w:cs="AppleSystemUIFont"/>
          <w:color w:val="000000"/>
          <w:lang w:val="en-GB"/>
        </w:rPr>
        <w:t>Ma</w:t>
      </w:r>
      <w:r w:rsidR="0082714B">
        <w:rPr>
          <w:rFonts w:asciiTheme="minorHAnsi" w:hAnsiTheme="minorHAnsi" w:cs="AppleSystemUIFont"/>
          <w:color w:val="000000"/>
          <w:lang w:val="en-GB"/>
        </w:rPr>
        <w:t>idan</w:t>
      </w:r>
      <w:proofErr w:type="spellEnd"/>
      <w:r w:rsidR="0082714B">
        <w:rPr>
          <w:rFonts w:asciiTheme="minorHAnsi" w:hAnsiTheme="minorHAnsi" w:cs="AppleSystemUIFont"/>
          <w:color w:val="000000"/>
          <w:lang w:val="en-GB"/>
        </w:rPr>
        <w:t xml:space="preserve"> and colleagues considered interference</w:t>
      </w:r>
      <w:r>
        <w:rPr>
          <w:rFonts w:asciiTheme="minorHAnsi" w:hAnsiTheme="minorHAnsi" w:cs="AppleSystemUIFont"/>
          <w:color w:val="000000"/>
          <w:lang w:val="en-GB"/>
        </w:rPr>
        <w:t xml:space="preserve"> fro</w:t>
      </w:r>
      <w:r w:rsidR="008D4821">
        <w:rPr>
          <w:rFonts w:asciiTheme="minorHAnsi" w:hAnsiTheme="minorHAnsi" w:cs="AppleSystemUIFont"/>
          <w:color w:val="000000"/>
          <w:lang w:val="en-GB"/>
        </w:rPr>
        <w:t>m these movement related cortical potentials in interpreting their results.</w:t>
      </w:r>
      <w:r w:rsidR="00EE1CCF">
        <w:rPr>
          <w:rFonts w:asciiTheme="minorHAnsi" w:hAnsiTheme="minorHAnsi" w:cs="AppleSystemUIFont"/>
          <w:color w:val="000000"/>
          <w:lang w:val="en-GB"/>
        </w:rPr>
        <w:t xml:space="preserve"> </w:t>
      </w:r>
      <w:r w:rsidR="008D4821">
        <w:rPr>
          <w:rFonts w:asciiTheme="minorHAnsi" w:hAnsiTheme="minorHAnsi" w:cs="AppleSystemUIFont"/>
          <w:color w:val="000000"/>
          <w:lang w:val="en-GB"/>
        </w:rPr>
        <w:t>In general, w</w:t>
      </w:r>
      <w:r w:rsidR="005636B4">
        <w:rPr>
          <w:rFonts w:asciiTheme="minorHAnsi" w:hAnsiTheme="minorHAnsi" w:cs="AppleSystemUIFont"/>
          <w:color w:val="000000"/>
          <w:lang w:val="en-GB"/>
        </w:rPr>
        <w:t>e propose that a CSD approach should be considered in analysis of event related potentials in people with Parkinson’s disease.</w:t>
      </w:r>
      <w:r w:rsidR="00EE1CCF">
        <w:rPr>
          <w:rFonts w:asciiTheme="minorHAnsi" w:hAnsiTheme="minorHAnsi" w:cs="AppleSystemUIFont"/>
          <w:noProof/>
          <w:color w:val="000000"/>
          <w:lang w:val="en-GB"/>
        </w:rPr>
        <w:t xml:space="preserve"> </w:t>
      </w:r>
    </w:p>
    <w:p w:rsidR="00291808" w:rsidRDefault="00291808" w:rsidP="003E076F">
      <w:pPr>
        <w:spacing w:line="360" w:lineRule="auto"/>
        <w:rPr>
          <w:rFonts w:asciiTheme="minorHAnsi" w:hAnsiTheme="minorHAnsi" w:cs="AppleSystemUIFont"/>
          <w:noProof/>
          <w:color w:val="000000"/>
          <w:lang w:val="en-GB"/>
        </w:rPr>
      </w:pPr>
    </w:p>
    <w:p w:rsidR="00291808" w:rsidRDefault="0017691F" w:rsidP="003E076F">
      <w:pPr>
        <w:spacing w:line="360" w:lineRule="auto"/>
        <w:rPr>
          <w:rFonts w:asciiTheme="minorHAnsi" w:hAnsiTheme="minorHAnsi" w:cs="AppleSystemUIFont"/>
          <w:color w:val="000000"/>
          <w:lang w:val="en-GB"/>
        </w:rPr>
      </w:pPr>
      <w:r>
        <w:rPr>
          <w:rFonts w:asciiTheme="minorHAnsi" w:hAnsiTheme="minorHAnsi" w:cs="AppleSystemUIFont"/>
          <w:noProof/>
          <w:color w:val="000000"/>
        </w:rPr>
        <w:drawing>
          <wp:inline distT="0" distB="0" distL="0" distR="0">
            <wp:extent cx="4835031" cy="1581664"/>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DLetterImage.pdf"/>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311" t="5831" r="2985" b="40836"/>
                    <a:stretch/>
                  </pic:blipFill>
                  <pic:spPr bwMode="auto">
                    <a:xfrm>
                      <a:off x="0" y="0"/>
                      <a:ext cx="4836755" cy="158222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443FE" w:rsidRPr="00F5543B" w:rsidRDefault="0017691F" w:rsidP="003E076F">
      <w:pPr>
        <w:spacing w:line="360" w:lineRule="auto"/>
        <w:rPr>
          <w:rFonts w:asciiTheme="minorHAnsi" w:hAnsiTheme="minorHAnsi" w:cs="AppleSystemUIFont"/>
          <w:i/>
          <w:color w:val="000000"/>
          <w:sz w:val="22"/>
          <w:szCs w:val="22"/>
          <w:lang w:val="en-GB"/>
        </w:rPr>
      </w:pPr>
      <w:r w:rsidRPr="00F5543B">
        <w:rPr>
          <w:rFonts w:asciiTheme="minorHAnsi" w:hAnsiTheme="minorHAnsi" w:cs="AppleSystemUIFont"/>
          <w:i/>
          <w:color w:val="000000"/>
          <w:sz w:val="22"/>
          <w:szCs w:val="22"/>
          <w:lang w:val="en-GB"/>
        </w:rPr>
        <w:t>Figure 1: A) ERP analysis showing the P300 responses for non-freezers (FOG-, blue) and freezers (FOG+, grey). Note apparent significant difference between groups. The solid black line indicates the stimulus onset, the dashed vertical lines indicate the mean response time for the FOG- (blue) group an</w:t>
      </w:r>
      <w:r w:rsidR="006D7ECB" w:rsidRPr="00F5543B">
        <w:rPr>
          <w:rFonts w:asciiTheme="minorHAnsi" w:hAnsiTheme="minorHAnsi" w:cs="AppleSystemUIFont"/>
          <w:i/>
          <w:color w:val="000000"/>
          <w:sz w:val="22"/>
          <w:szCs w:val="22"/>
          <w:lang w:val="en-GB"/>
        </w:rPr>
        <w:t>d FOG+ (grey) group;</w:t>
      </w:r>
      <w:r w:rsidR="005B2BF9" w:rsidRPr="00F5543B">
        <w:rPr>
          <w:rFonts w:asciiTheme="minorHAnsi" w:hAnsiTheme="minorHAnsi" w:cs="AppleSystemUIFont"/>
          <w:i/>
          <w:color w:val="000000"/>
          <w:sz w:val="22"/>
          <w:szCs w:val="22"/>
          <w:lang w:val="en-GB"/>
        </w:rPr>
        <w:t xml:space="preserve"> B)</w:t>
      </w:r>
      <w:r w:rsidRPr="00F5543B">
        <w:rPr>
          <w:rFonts w:asciiTheme="minorHAnsi" w:hAnsiTheme="minorHAnsi" w:cs="AppleSystemUIFont"/>
          <w:i/>
          <w:color w:val="000000"/>
          <w:sz w:val="22"/>
          <w:szCs w:val="22"/>
          <w:lang w:val="en-GB"/>
        </w:rPr>
        <w:t xml:space="preserve"> The mean ERP scalp distribution for the FOG- (top) </w:t>
      </w:r>
      <w:r w:rsidR="005B2BF9" w:rsidRPr="00F5543B">
        <w:rPr>
          <w:rFonts w:asciiTheme="minorHAnsi" w:hAnsiTheme="minorHAnsi" w:cs="AppleSystemUIFont"/>
          <w:i/>
          <w:color w:val="000000"/>
          <w:sz w:val="22"/>
          <w:szCs w:val="22"/>
          <w:lang w:val="en-GB"/>
        </w:rPr>
        <w:t>group and FOG+ (bottom) group.</w:t>
      </w:r>
      <w:r w:rsidR="006D7ECB" w:rsidRPr="00F5543B">
        <w:rPr>
          <w:rFonts w:asciiTheme="minorHAnsi" w:hAnsiTheme="minorHAnsi" w:cs="AppleSystemUIFont"/>
          <w:i/>
          <w:color w:val="000000"/>
          <w:sz w:val="22"/>
          <w:szCs w:val="22"/>
          <w:lang w:val="en-GB"/>
        </w:rPr>
        <w:t xml:space="preserve"> Solid arrow indicates diffuse P300 distribution, with spread towards the right frontal area;</w:t>
      </w:r>
      <w:r w:rsidR="005B2BF9" w:rsidRPr="00F5543B">
        <w:rPr>
          <w:rFonts w:asciiTheme="minorHAnsi" w:hAnsiTheme="minorHAnsi" w:cs="AppleSystemUIFont"/>
          <w:i/>
          <w:color w:val="000000"/>
          <w:sz w:val="22"/>
          <w:szCs w:val="22"/>
          <w:lang w:val="en-GB"/>
        </w:rPr>
        <w:t xml:space="preserve"> C)</w:t>
      </w:r>
      <w:r w:rsidRPr="00F5543B">
        <w:rPr>
          <w:rFonts w:asciiTheme="minorHAnsi" w:hAnsiTheme="minorHAnsi" w:cs="AppleSystemUIFont"/>
          <w:i/>
          <w:color w:val="000000"/>
          <w:sz w:val="22"/>
          <w:szCs w:val="22"/>
          <w:lang w:val="en-GB"/>
        </w:rPr>
        <w:t xml:space="preserve"> The mean CSD scalp distribution for the FOG- (top) group and FOG+ (bottom) group for comparison.</w:t>
      </w:r>
      <w:r w:rsidR="00F5543B" w:rsidRPr="00F5543B">
        <w:rPr>
          <w:rFonts w:asciiTheme="minorHAnsi" w:hAnsiTheme="minorHAnsi" w:cs="AppleSystemUIFont"/>
          <w:i/>
          <w:color w:val="000000"/>
          <w:sz w:val="22"/>
          <w:szCs w:val="22"/>
          <w:lang w:val="en-GB"/>
        </w:rPr>
        <w:t xml:space="preserve"> Open arrows indicate two separate sources within the diffuse energy signal seen in the ERP </w:t>
      </w:r>
      <w:proofErr w:type="spellStart"/>
      <w:r w:rsidR="00F5543B" w:rsidRPr="00F5543B">
        <w:rPr>
          <w:rFonts w:asciiTheme="minorHAnsi" w:hAnsiTheme="minorHAnsi" w:cs="AppleSystemUIFont"/>
          <w:i/>
          <w:color w:val="000000"/>
          <w:sz w:val="22"/>
          <w:szCs w:val="22"/>
          <w:lang w:val="en-GB"/>
        </w:rPr>
        <w:t>topoplot</w:t>
      </w:r>
      <w:proofErr w:type="spellEnd"/>
      <w:r w:rsidR="00F5543B" w:rsidRPr="00F5543B">
        <w:rPr>
          <w:rFonts w:asciiTheme="minorHAnsi" w:hAnsiTheme="minorHAnsi" w:cs="AppleSystemUIFont"/>
          <w:i/>
          <w:color w:val="000000"/>
          <w:sz w:val="22"/>
          <w:szCs w:val="22"/>
          <w:lang w:val="en-GB"/>
        </w:rPr>
        <w:t xml:space="preserve">. D) Re-analysis of the </w:t>
      </w:r>
      <w:proofErr w:type="spellStart"/>
      <w:r w:rsidR="00F5543B" w:rsidRPr="00F5543B">
        <w:rPr>
          <w:rFonts w:asciiTheme="minorHAnsi" w:hAnsiTheme="minorHAnsi" w:cs="AppleSystemUIFont"/>
          <w:i/>
          <w:color w:val="000000"/>
          <w:sz w:val="22"/>
          <w:szCs w:val="22"/>
          <w:lang w:val="en-GB"/>
        </w:rPr>
        <w:lastRenderedPageBreak/>
        <w:t>centroparietal</w:t>
      </w:r>
      <w:proofErr w:type="spellEnd"/>
      <w:r w:rsidR="00F5543B" w:rsidRPr="00F5543B">
        <w:rPr>
          <w:rFonts w:asciiTheme="minorHAnsi" w:hAnsiTheme="minorHAnsi" w:cs="AppleSystemUIFont"/>
          <w:i/>
          <w:color w:val="000000"/>
          <w:sz w:val="22"/>
          <w:szCs w:val="22"/>
          <w:lang w:val="en-GB"/>
        </w:rPr>
        <w:t xml:space="preserve"> positivity (CPP) responses for FOG- (blue) and FOG+ (grey). Note lack of significant difference between groups.</w:t>
      </w:r>
    </w:p>
    <w:p w:rsidR="00F12715" w:rsidRDefault="00F12715" w:rsidP="003E076F">
      <w:pPr>
        <w:spacing w:line="360" w:lineRule="auto"/>
        <w:rPr>
          <w:rFonts w:asciiTheme="minorHAnsi" w:hAnsiTheme="minorHAnsi" w:cs="AppleSystemUIFont"/>
          <w:color w:val="000000"/>
          <w:lang w:val="en-GB"/>
        </w:rPr>
      </w:pPr>
    </w:p>
    <w:p w:rsidR="00BE13FB" w:rsidRDefault="00BE13FB" w:rsidP="003E076F">
      <w:pPr>
        <w:spacing w:line="360" w:lineRule="auto"/>
        <w:rPr>
          <w:rFonts w:asciiTheme="minorHAnsi" w:hAnsiTheme="minorHAnsi" w:cs="AppleSystemUIFont"/>
          <w:color w:val="000000"/>
          <w:lang w:val="en-GB"/>
        </w:rPr>
      </w:pPr>
    </w:p>
    <w:p w:rsidR="00BE13FB" w:rsidRDefault="00BE13FB" w:rsidP="003E076F">
      <w:pPr>
        <w:spacing w:line="360" w:lineRule="auto"/>
        <w:rPr>
          <w:rFonts w:asciiTheme="minorHAnsi" w:hAnsiTheme="minorHAnsi" w:cs="AppleSystemUIFont"/>
          <w:color w:val="000000"/>
          <w:lang w:val="en-GB"/>
        </w:rPr>
      </w:pPr>
      <w:r>
        <w:rPr>
          <w:rFonts w:asciiTheme="minorHAnsi" w:hAnsiTheme="minorHAnsi" w:cs="AppleSystemUIFont"/>
          <w:color w:val="000000"/>
          <w:lang w:val="en-GB"/>
        </w:rPr>
        <w:t>References:</w:t>
      </w:r>
    </w:p>
    <w:p w:rsidR="00BE13FB" w:rsidRPr="00BE13FB" w:rsidRDefault="00140A64" w:rsidP="00BE13FB">
      <w:pPr>
        <w:pStyle w:val="Bibliography"/>
        <w:rPr>
          <w:rFonts w:ascii="Calibri" w:hAnsiTheme="minorHAnsi" w:cs="Calibri"/>
          <w:color w:val="000000"/>
        </w:rPr>
      </w:pPr>
      <w:r>
        <w:rPr>
          <w:rFonts w:asciiTheme="minorHAnsi" w:hAnsiTheme="minorHAnsi" w:cs="AppleSystemUIFont"/>
          <w:color w:val="000000"/>
          <w:lang w:val="en-GB"/>
        </w:rPr>
        <w:fldChar w:fldCharType="begin"/>
      </w:r>
      <w:r w:rsidR="00BE13FB">
        <w:rPr>
          <w:rFonts w:asciiTheme="minorHAnsi" w:hAnsiTheme="minorHAnsi" w:cs="AppleSystemUIFont"/>
          <w:color w:val="000000"/>
          <w:lang w:val="en-GB"/>
        </w:rPr>
        <w:instrText xml:space="preserve"> ADDIN ZOTERO_BIBL {"uncited":[],"omitted":[],"custom":[]} CSL_BIBLIOGRAPHY </w:instrText>
      </w:r>
      <w:r>
        <w:rPr>
          <w:rFonts w:asciiTheme="minorHAnsi" w:hAnsiTheme="minorHAnsi" w:cs="AppleSystemUIFont"/>
          <w:color w:val="000000"/>
          <w:lang w:val="en-GB"/>
        </w:rPr>
        <w:fldChar w:fldCharType="separate"/>
      </w:r>
      <w:r w:rsidR="00BE13FB" w:rsidRPr="00BE13FB">
        <w:rPr>
          <w:rFonts w:ascii="Calibri" w:hAnsiTheme="minorHAnsi" w:cs="Calibri"/>
          <w:color w:val="000000"/>
        </w:rPr>
        <w:t xml:space="preserve">Butler JS, Fearon C, Killane I, Waechter SM, Reilly RB, Lynch T. Motor preparation rather than decision-making differentiates Parkinson’s disease patients with and without freezing of gait. Clin Neurophysiol. 2017;128(3):463–71. </w:t>
      </w:r>
    </w:p>
    <w:p w:rsidR="00BE13FB" w:rsidRPr="00BE13FB" w:rsidRDefault="00BE13FB" w:rsidP="00BE13FB">
      <w:pPr>
        <w:pStyle w:val="Bibliography"/>
        <w:rPr>
          <w:rFonts w:ascii="Calibri" w:hAnsiTheme="minorHAnsi" w:cs="Calibri"/>
          <w:color w:val="000000"/>
        </w:rPr>
      </w:pPr>
      <w:r w:rsidRPr="00BE13FB">
        <w:rPr>
          <w:rFonts w:ascii="Calibri" w:hAnsiTheme="minorHAnsi" w:cs="Calibri"/>
          <w:color w:val="000000"/>
        </w:rPr>
        <w:t xml:space="preserve">Kayser J, Tenke CE. Principal components analysis of Laplacian waveforms as a generic method for identifying ERP generator patterns: I. Evaluation with auditory oddball tasks. Clin Neurophysiol. 2006 Feb;117(2):348–68. </w:t>
      </w:r>
    </w:p>
    <w:p w:rsidR="00BE13FB" w:rsidRPr="00BE13FB" w:rsidRDefault="00BE13FB" w:rsidP="00BE13FB">
      <w:pPr>
        <w:pStyle w:val="Bibliography"/>
        <w:rPr>
          <w:rFonts w:ascii="Calibri" w:hAnsiTheme="minorHAnsi" w:cs="Calibri"/>
          <w:color w:val="000000"/>
        </w:rPr>
      </w:pPr>
      <w:r w:rsidRPr="00BE13FB">
        <w:rPr>
          <w:rFonts w:ascii="Calibri" w:hAnsiTheme="minorHAnsi" w:cs="Calibri"/>
          <w:color w:val="000000"/>
        </w:rPr>
        <w:t xml:space="preserve">Maidan I, Fahoum F, Shustak S, Gazit E, Patashov D, Tchertov D, et al. Changes in event-related potentials during dual task walking in aging and Parkinson’s disease. Clin Neurophysiol. 2019 Feb;130(2):224–30. </w:t>
      </w:r>
    </w:p>
    <w:p w:rsidR="00BE13FB" w:rsidRPr="00BE13FB" w:rsidRDefault="00BE13FB" w:rsidP="00BE13FB">
      <w:pPr>
        <w:pStyle w:val="Bibliography"/>
        <w:rPr>
          <w:rFonts w:ascii="Calibri" w:hAnsiTheme="minorHAnsi" w:cs="Calibri"/>
          <w:color w:val="000000"/>
        </w:rPr>
      </w:pPr>
      <w:r w:rsidRPr="00BE13FB">
        <w:rPr>
          <w:rFonts w:ascii="Calibri" w:hAnsiTheme="minorHAnsi" w:cs="Calibri"/>
          <w:color w:val="000000"/>
        </w:rPr>
        <w:t xml:space="preserve">Shibasaki H, Hallett M. What is the Bereitschaftspotential? Clinical Neurophysiology. 2006 Nov 1;117(11):2341–56. </w:t>
      </w:r>
    </w:p>
    <w:p w:rsidR="00BE13FB" w:rsidRDefault="00140A64" w:rsidP="003E076F">
      <w:pPr>
        <w:spacing w:line="360" w:lineRule="auto"/>
        <w:rPr>
          <w:rFonts w:asciiTheme="minorHAnsi" w:hAnsiTheme="minorHAnsi" w:cs="AppleSystemUIFont"/>
          <w:color w:val="000000"/>
          <w:lang w:val="en-GB"/>
        </w:rPr>
      </w:pPr>
      <w:r>
        <w:rPr>
          <w:rFonts w:asciiTheme="minorHAnsi" w:hAnsiTheme="minorHAnsi" w:cs="AppleSystemUIFont"/>
          <w:color w:val="000000"/>
          <w:lang w:val="en-GB"/>
        </w:rPr>
        <w:fldChar w:fldCharType="end"/>
      </w:r>
    </w:p>
    <w:sectPr w:rsidR="00BE13FB" w:rsidSect="009D4630">
      <w:headerReference w:type="default" r:id="rId9"/>
      <w:footerReference w:type="default" r:id="rId10"/>
      <w:pgSz w:w="11906" w:h="16838"/>
      <w:pgMar w:top="1440" w:right="1800" w:bottom="1440" w:left="1800" w:header="708" w:footer="708" w:gutter="0"/>
      <w:cols w:space="720"/>
      <w:docGrid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B-CNL" w:date="2019-05-28T14:08:00Z" w:initials="J">
    <w:p w:rsidR="00B562AC" w:rsidRDefault="00B562AC" w:rsidP="00B562AC">
      <w:pPr>
        <w:suppressAutoHyphens w:val="0"/>
        <w:autoSpaceDE w:val="0"/>
        <w:autoSpaceDN w:val="0"/>
        <w:adjustRightInd w:val="0"/>
        <w:rPr>
          <w:rFonts w:ascii="AdvPTimes" w:eastAsia="Times New Roman" w:hAnsi="AdvPTimes" w:cs="AdvPTimes"/>
          <w:kern w:val="0"/>
          <w:sz w:val="17"/>
          <w:szCs w:val="17"/>
        </w:rPr>
      </w:pPr>
      <w:r>
        <w:rPr>
          <w:rStyle w:val="CommentReference"/>
        </w:rPr>
        <w:annotationRef/>
      </w:r>
      <w:r>
        <w:rPr>
          <w:rFonts w:ascii="AdvPTimes" w:eastAsia="Times New Roman" w:hAnsi="AdvPTimes" w:cs="AdvPTimes"/>
          <w:kern w:val="0"/>
          <w:sz w:val="17"/>
          <w:szCs w:val="17"/>
        </w:rPr>
        <w:t xml:space="preserve">Salisbury DF, Rutherford B, </w:t>
      </w:r>
      <w:proofErr w:type="spellStart"/>
      <w:r>
        <w:rPr>
          <w:rFonts w:ascii="AdvPTimes" w:eastAsia="Times New Roman" w:hAnsi="AdvPTimes" w:cs="AdvPTimes"/>
          <w:kern w:val="0"/>
          <w:sz w:val="17"/>
          <w:szCs w:val="17"/>
        </w:rPr>
        <w:t>Shenton</w:t>
      </w:r>
      <w:proofErr w:type="spellEnd"/>
      <w:r>
        <w:rPr>
          <w:rFonts w:ascii="AdvPTimes" w:eastAsia="Times New Roman" w:hAnsi="AdvPTimes" w:cs="AdvPTimes"/>
          <w:kern w:val="0"/>
          <w:sz w:val="17"/>
          <w:szCs w:val="17"/>
        </w:rPr>
        <w:t xml:space="preserve"> ME, </w:t>
      </w:r>
      <w:proofErr w:type="spellStart"/>
      <w:r>
        <w:rPr>
          <w:rFonts w:ascii="AdvPTimes" w:eastAsia="Times New Roman" w:hAnsi="AdvPTimes" w:cs="AdvPTimes"/>
          <w:kern w:val="0"/>
          <w:sz w:val="17"/>
          <w:szCs w:val="17"/>
        </w:rPr>
        <w:t>McCarley</w:t>
      </w:r>
      <w:proofErr w:type="spellEnd"/>
      <w:r>
        <w:rPr>
          <w:rFonts w:ascii="AdvPTimes" w:eastAsia="Times New Roman" w:hAnsi="AdvPTimes" w:cs="AdvPTimes"/>
          <w:kern w:val="0"/>
          <w:sz w:val="17"/>
          <w:szCs w:val="17"/>
        </w:rPr>
        <w:t xml:space="preserve"> RW (2003)</w:t>
      </w:r>
    </w:p>
    <w:p w:rsidR="00B562AC" w:rsidRDefault="00B562AC" w:rsidP="00B562AC">
      <w:pPr>
        <w:suppressAutoHyphens w:val="0"/>
        <w:autoSpaceDE w:val="0"/>
        <w:autoSpaceDN w:val="0"/>
        <w:adjustRightInd w:val="0"/>
        <w:rPr>
          <w:rFonts w:ascii="AdvPTimes" w:eastAsia="Times New Roman" w:hAnsi="AdvPTimes" w:cs="AdvPTimes"/>
          <w:kern w:val="0"/>
          <w:sz w:val="17"/>
          <w:szCs w:val="17"/>
        </w:rPr>
      </w:pPr>
      <w:r>
        <w:rPr>
          <w:rFonts w:ascii="AdvPTimes" w:eastAsia="Times New Roman" w:hAnsi="AdvPTimes" w:cs="AdvPTimes"/>
          <w:kern w:val="0"/>
          <w:sz w:val="17"/>
          <w:szCs w:val="17"/>
        </w:rPr>
        <w:t>Button-pressing affects P300 amplitude and scalp topography.</w:t>
      </w:r>
    </w:p>
    <w:p w:rsidR="00B562AC" w:rsidRDefault="00B562AC" w:rsidP="00B562AC">
      <w:pPr>
        <w:pStyle w:val="CommentText"/>
      </w:pPr>
      <w:proofErr w:type="spellStart"/>
      <w:r>
        <w:rPr>
          <w:rFonts w:ascii="AdvPTimes" w:eastAsia="Times New Roman" w:hAnsi="AdvPTimes" w:cs="AdvPTimes"/>
          <w:kern w:val="0"/>
          <w:sz w:val="17"/>
          <w:szCs w:val="17"/>
        </w:rPr>
        <w:t>Clin</w:t>
      </w:r>
      <w:proofErr w:type="spellEnd"/>
      <w:r>
        <w:rPr>
          <w:rFonts w:ascii="AdvPTimes" w:eastAsia="Times New Roman" w:hAnsi="AdvPTimes" w:cs="AdvPTimes"/>
          <w:kern w:val="0"/>
          <w:sz w:val="17"/>
          <w:szCs w:val="17"/>
        </w:rPr>
        <w:t xml:space="preserve"> </w:t>
      </w:r>
      <w:proofErr w:type="spellStart"/>
      <w:r>
        <w:rPr>
          <w:rFonts w:ascii="AdvPTimes" w:eastAsia="Times New Roman" w:hAnsi="AdvPTimes" w:cs="AdvPTimes"/>
          <w:kern w:val="0"/>
          <w:sz w:val="17"/>
          <w:szCs w:val="17"/>
        </w:rPr>
        <w:t>Neurophysiol</w:t>
      </w:r>
      <w:proofErr w:type="spellEnd"/>
      <w:r>
        <w:rPr>
          <w:rFonts w:ascii="AdvPTimes" w:eastAsia="Times New Roman" w:hAnsi="AdvPTimes" w:cs="AdvPTimes"/>
          <w:kern w:val="0"/>
          <w:sz w:val="17"/>
          <w:szCs w:val="17"/>
        </w:rPr>
        <w:t xml:space="preserve"> 112:1676–1684</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F07" w:rsidRDefault="004E5F07">
      <w:r>
        <w:separator/>
      </w:r>
    </w:p>
  </w:endnote>
  <w:endnote w:type="continuationSeparator" w:id="0">
    <w:p w:rsidR="004E5F07" w:rsidRDefault="004E5F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1"/>
    <w:family w:val="auto"/>
    <w:pitch w:val="variable"/>
    <w:sig w:usb0="00000000" w:usb1="00000000" w:usb2="00000000" w:usb3="00000000" w:csb0="00000000" w:csb1="00000000"/>
  </w:font>
  <w:font w:name="font399">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ppleSystemUIFont">
    <w:altName w:val="Calibri"/>
    <w:charset w:val="00"/>
    <w:family w:val="auto"/>
    <w:pitch w:val="default"/>
    <w:sig w:usb0="00000003" w:usb1="00000000" w:usb2="00000000" w:usb3="00000000" w:csb0="00000001" w:csb1="00000000"/>
  </w:font>
  <w:font w:name="AdvPTimes">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896" w:rsidRDefault="00140A64">
    <w:pPr>
      <w:pStyle w:val="Footer"/>
      <w:jc w:val="right"/>
    </w:pPr>
    <w:r>
      <w:fldChar w:fldCharType="begin"/>
    </w:r>
    <w:r w:rsidR="002C6896">
      <w:instrText xml:space="preserve"> PAGE </w:instrText>
    </w:r>
    <w:r>
      <w:fldChar w:fldCharType="separate"/>
    </w:r>
    <w:r w:rsidR="009E0B31">
      <w:rPr>
        <w:noProof/>
      </w:rPr>
      <w:t>2</w:t>
    </w:r>
    <w:r>
      <w:rPr>
        <w:noProof/>
      </w:rPr>
      <w:fldChar w:fldCharType="end"/>
    </w:r>
  </w:p>
  <w:p w:rsidR="002C6896" w:rsidRDefault="002C68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F07" w:rsidRDefault="004E5F07">
      <w:r>
        <w:separator/>
      </w:r>
    </w:p>
  </w:footnote>
  <w:footnote w:type="continuationSeparator" w:id="0">
    <w:p w:rsidR="004E5F07" w:rsidRDefault="004E5F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896" w:rsidRDefault="002C6896" w:rsidP="00350548">
    <w:pPr>
      <w:pStyle w:val="Header"/>
      <w:tabs>
        <w:tab w:val="clear" w:pos="9026"/>
        <w:tab w:val="right" w:pos="8222"/>
      </w:tabs>
    </w:pPr>
    <w:proofErr w:type="spellStart"/>
    <w:r>
      <w:rPr>
        <w:rFonts w:ascii="Calibri" w:hAnsi="Calibri" w:cs="Times New Roman"/>
      </w:rPr>
      <w:t>Fearon</w:t>
    </w:r>
    <w:proofErr w:type="spellEnd"/>
    <w:r>
      <w:rPr>
        <w:rFonts w:ascii="Calibri" w:hAnsi="Calibri" w:cs="Times New Roman"/>
      </w:rPr>
      <w:t xml:space="preserve"> et al. </w:t>
    </w:r>
    <w:r>
      <w:rPr>
        <w:rFonts w:ascii="Calibri" w:hAnsi="Calibri" w:cs="Times New Roman"/>
      </w:rPr>
      <w:tab/>
    </w:r>
    <w:r>
      <w:rPr>
        <w:rFonts w:ascii="Calibri" w:hAnsi="Calibri" w:cs="Times New Roman"/>
      </w:rPr>
      <w:tab/>
      <w:t>Current Source Density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39"/>
      <w:numFmt w:val="bullet"/>
      <w:lvlText w:val=""/>
      <w:lvlJc w:val="left"/>
      <w:pPr>
        <w:tabs>
          <w:tab w:val="num" w:pos="0"/>
        </w:tabs>
        <w:ind w:left="1080" w:hanging="360"/>
      </w:pPr>
      <w:rPr>
        <w:rFonts w:ascii="Symbol" w:hAnsi="Symbol" w:cs="Times New Roman"/>
      </w:rPr>
    </w:lvl>
    <w:lvl w:ilvl="1">
      <w:start w:val="1"/>
      <w:numFmt w:val="bullet"/>
      <w:lvlText w:val="o"/>
      <w:lvlJc w:val="left"/>
      <w:pPr>
        <w:tabs>
          <w:tab w:val="num" w:pos="0"/>
        </w:tabs>
        <w:ind w:left="1800" w:hanging="360"/>
      </w:pPr>
      <w:rPr>
        <w:rFonts w:ascii="Courier New" w:hAnsi="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6615389"/>
    <w:multiLevelType w:val="hybridMultilevel"/>
    <w:tmpl w:val="CDB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docVars>
    <w:docVar w:name="EN.InstantFormat" w:val="&lt;ENInstantFormat&gt;&lt;Enabled&gt;1&lt;/Enabled&gt;&lt;ScanUnformatted&gt;1&lt;/ScanUnformatted&gt;&lt;ScanChanges&gt;1&lt;/ScanChanges&gt;&lt;Suspended&gt;1&lt;/Suspended&gt;&lt;/ENInstantFormat&gt;"/>
    <w:docVar w:name="EN.Layout" w:val="&lt;ENLayout&gt;&lt;Style&gt;Euro J Neuro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pzwvf0vwvrevge5xpfpz9wvsapxd2s20tef&quot;&gt;My EndNote Library&lt;record-ids&gt;&lt;item&gt;2110&lt;/item&gt;&lt;item&gt;2637&lt;/item&gt;&lt;item&gt;4680&lt;/item&gt;&lt;item&gt;4707&lt;/item&gt;&lt;item&gt;4712&lt;/item&gt;&lt;item&gt;4755&lt;/item&gt;&lt;item&gt;4965&lt;/item&gt;&lt;item&gt;5480&lt;/item&gt;&lt;item&gt;5809&lt;/item&gt;&lt;item&gt;5883&lt;/item&gt;&lt;item&gt;6188&lt;/item&gt;&lt;item&gt;6195&lt;/item&gt;&lt;item&gt;6196&lt;/item&gt;&lt;item&gt;6211&lt;/item&gt;&lt;item&gt;6212&lt;/item&gt;&lt;item&gt;6213&lt;/item&gt;&lt;item&gt;6220&lt;/item&gt;&lt;item&gt;6228&lt;/item&gt;&lt;item&gt;6232&lt;/item&gt;&lt;item&gt;6233&lt;/item&gt;&lt;item&gt;6235&lt;/item&gt;&lt;item&gt;6237&lt;/item&gt;&lt;item&gt;6241&lt;/item&gt;&lt;item&gt;6242&lt;/item&gt;&lt;item&gt;6243&lt;/item&gt;&lt;item&gt;6247&lt;/item&gt;&lt;item&gt;6251&lt;/item&gt;&lt;item&gt;6256&lt;/item&gt;&lt;item&gt;6262&lt;/item&gt;&lt;item&gt;6265&lt;/item&gt;&lt;item&gt;6267&lt;/item&gt;&lt;item&gt;6272&lt;/item&gt;&lt;item&gt;6274&lt;/item&gt;&lt;item&gt;6278&lt;/item&gt;&lt;item&gt;6280&lt;/item&gt;&lt;item&gt;6285&lt;/item&gt;&lt;item&gt;6375&lt;/item&gt;&lt;item&gt;6376&lt;/item&gt;&lt;item&gt;6413&lt;/item&gt;&lt;item&gt;6482&lt;/item&gt;&lt;item&gt;6491&lt;/item&gt;&lt;item&gt;6492&lt;/item&gt;&lt;item&gt;6494&lt;/item&gt;&lt;item&gt;6495&lt;/item&gt;&lt;item&gt;6496&lt;/item&gt;&lt;item&gt;6497&lt;/item&gt;&lt;item&gt;6498&lt;/item&gt;&lt;item&gt;6499&lt;/item&gt;&lt;item&gt;6501&lt;/item&gt;&lt;item&gt;6502&lt;/item&gt;&lt;item&gt;6503&lt;/item&gt;&lt;item&gt;6504&lt;/item&gt;&lt;item&gt;6505&lt;/item&gt;&lt;item&gt;6506&lt;/item&gt;&lt;item&gt;6507&lt;/item&gt;&lt;item&gt;6508&lt;/item&gt;&lt;item&gt;6509&lt;/item&gt;&lt;item&gt;6517&lt;/item&gt;&lt;item&gt;6523&lt;/item&gt;&lt;item&gt;6524&lt;/item&gt;&lt;item&gt;6532&lt;/item&gt;&lt;item&gt;6535&lt;/item&gt;&lt;/record-ids&gt;&lt;/item&gt;&lt;/Libraries&gt;"/>
  </w:docVars>
  <w:rsids>
    <w:rsidRoot w:val="00B559AC"/>
    <w:rsid w:val="00010E90"/>
    <w:rsid w:val="0001174C"/>
    <w:rsid w:val="00017AE5"/>
    <w:rsid w:val="00022E8F"/>
    <w:rsid w:val="00034C8E"/>
    <w:rsid w:val="00057C88"/>
    <w:rsid w:val="000729F1"/>
    <w:rsid w:val="000939D5"/>
    <w:rsid w:val="00094ACB"/>
    <w:rsid w:val="00095DAB"/>
    <w:rsid w:val="000A1001"/>
    <w:rsid w:val="000A22E1"/>
    <w:rsid w:val="000F075D"/>
    <w:rsid w:val="000F5142"/>
    <w:rsid w:val="00102AB2"/>
    <w:rsid w:val="001076A7"/>
    <w:rsid w:val="00110839"/>
    <w:rsid w:val="00117DCB"/>
    <w:rsid w:val="001235E7"/>
    <w:rsid w:val="00125629"/>
    <w:rsid w:val="00127F2F"/>
    <w:rsid w:val="00132118"/>
    <w:rsid w:val="00140A64"/>
    <w:rsid w:val="00162DB4"/>
    <w:rsid w:val="0017691F"/>
    <w:rsid w:val="001815D4"/>
    <w:rsid w:val="00190622"/>
    <w:rsid w:val="00194E5F"/>
    <w:rsid w:val="001974C1"/>
    <w:rsid w:val="001A00EB"/>
    <w:rsid w:val="001A0371"/>
    <w:rsid w:val="001A074E"/>
    <w:rsid w:val="001B3615"/>
    <w:rsid w:val="001B49D8"/>
    <w:rsid w:val="001C0C13"/>
    <w:rsid w:val="001C20B6"/>
    <w:rsid w:val="001C346F"/>
    <w:rsid w:val="001C727F"/>
    <w:rsid w:val="001D33DC"/>
    <w:rsid w:val="001D5135"/>
    <w:rsid w:val="001F37F5"/>
    <w:rsid w:val="0020657C"/>
    <w:rsid w:val="00206E14"/>
    <w:rsid w:val="00212C5E"/>
    <w:rsid w:val="00216026"/>
    <w:rsid w:val="002223A5"/>
    <w:rsid w:val="00223E7B"/>
    <w:rsid w:val="00225E60"/>
    <w:rsid w:val="002332F5"/>
    <w:rsid w:val="00244743"/>
    <w:rsid w:val="00246985"/>
    <w:rsid w:val="0025689E"/>
    <w:rsid w:val="00256E5D"/>
    <w:rsid w:val="00287827"/>
    <w:rsid w:val="00290726"/>
    <w:rsid w:val="00291808"/>
    <w:rsid w:val="0029445A"/>
    <w:rsid w:val="00295288"/>
    <w:rsid w:val="002A70EB"/>
    <w:rsid w:val="002C1F76"/>
    <w:rsid w:val="002C6896"/>
    <w:rsid w:val="002C7C3F"/>
    <w:rsid w:val="002D36C2"/>
    <w:rsid w:val="002D3841"/>
    <w:rsid w:val="002E356E"/>
    <w:rsid w:val="002F1EBF"/>
    <w:rsid w:val="00304670"/>
    <w:rsid w:val="00305BB7"/>
    <w:rsid w:val="0030700D"/>
    <w:rsid w:val="00321F0B"/>
    <w:rsid w:val="0032567B"/>
    <w:rsid w:val="00331BD6"/>
    <w:rsid w:val="00335FE2"/>
    <w:rsid w:val="00342106"/>
    <w:rsid w:val="00343BD0"/>
    <w:rsid w:val="00350548"/>
    <w:rsid w:val="0036556B"/>
    <w:rsid w:val="00365CCA"/>
    <w:rsid w:val="003776D1"/>
    <w:rsid w:val="003814CC"/>
    <w:rsid w:val="00390058"/>
    <w:rsid w:val="00395748"/>
    <w:rsid w:val="0039677C"/>
    <w:rsid w:val="003A44B9"/>
    <w:rsid w:val="003B5456"/>
    <w:rsid w:val="003B79AF"/>
    <w:rsid w:val="003C0B3C"/>
    <w:rsid w:val="003D3C60"/>
    <w:rsid w:val="003D3F10"/>
    <w:rsid w:val="003D6B20"/>
    <w:rsid w:val="003D7C63"/>
    <w:rsid w:val="003E076F"/>
    <w:rsid w:val="003E2B00"/>
    <w:rsid w:val="004145E1"/>
    <w:rsid w:val="00421868"/>
    <w:rsid w:val="004305B2"/>
    <w:rsid w:val="004331DE"/>
    <w:rsid w:val="00433B45"/>
    <w:rsid w:val="00436499"/>
    <w:rsid w:val="00444DF2"/>
    <w:rsid w:val="00450FC5"/>
    <w:rsid w:val="00460254"/>
    <w:rsid w:val="0046131F"/>
    <w:rsid w:val="00461C25"/>
    <w:rsid w:val="00462EC8"/>
    <w:rsid w:val="00477313"/>
    <w:rsid w:val="00482381"/>
    <w:rsid w:val="00483058"/>
    <w:rsid w:val="00484596"/>
    <w:rsid w:val="004A5711"/>
    <w:rsid w:val="004B649A"/>
    <w:rsid w:val="004C254C"/>
    <w:rsid w:val="004C65B2"/>
    <w:rsid w:val="004E301F"/>
    <w:rsid w:val="004E5286"/>
    <w:rsid w:val="004E5F07"/>
    <w:rsid w:val="004E717D"/>
    <w:rsid w:val="00504997"/>
    <w:rsid w:val="005121B6"/>
    <w:rsid w:val="00516AC9"/>
    <w:rsid w:val="00521894"/>
    <w:rsid w:val="005223C0"/>
    <w:rsid w:val="005235F7"/>
    <w:rsid w:val="005379F2"/>
    <w:rsid w:val="00545EE2"/>
    <w:rsid w:val="0055231E"/>
    <w:rsid w:val="00563616"/>
    <w:rsid w:val="005636B4"/>
    <w:rsid w:val="00563C7A"/>
    <w:rsid w:val="00567A7E"/>
    <w:rsid w:val="00582131"/>
    <w:rsid w:val="0059482B"/>
    <w:rsid w:val="005A060C"/>
    <w:rsid w:val="005B2BF9"/>
    <w:rsid w:val="005C051D"/>
    <w:rsid w:val="005C5F00"/>
    <w:rsid w:val="005D0D29"/>
    <w:rsid w:val="005D2DC6"/>
    <w:rsid w:val="005D7408"/>
    <w:rsid w:val="005F141B"/>
    <w:rsid w:val="005F327F"/>
    <w:rsid w:val="006044A9"/>
    <w:rsid w:val="00625148"/>
    <w:rsid w:val="00627969"/>
    <w:rsid w:val="00637BC3"/>
    <w:rsid w:val="00655627"/>
    <w:rsid w:val="00664DAE"/>
    <w:rsid w:val="0067365B"/>
    <w:rsid w:val="00675380"/>
    <w:rsid w:val="006947A2"/>
    <w:rsid w:val="006B16BE"/>
    <w:rsid w:val="006C51B4"/>
    <w:rsid w:val="006C7773"/>
    <w:rsid w:val="006D1152"/>
    <w:rsid w:val="006D4C2E"/>
    <w:rsid w:val="006D66B0"/>
    <w:rsid w:val="006D7ECB"/>
    <w:rsid w:val="006E0659"/>
    <w:rsid w:val="00700C6D"/>
    <w:rsid w:val="007026BA"/>
    <w:rsid w:val="00702943"/>
    <w:rsid w:val="00705901"/>
    <w:rsid w:val="00707878"/>
    <w:rsid w:val="00707B23"/>
    <w:rsid w:val="00723E83"/>
    <w:rsid w:val="00726B8F"/>
    <w:rsid w:val="007427CA"/>
    <w:rsid w:val="0074668A"/>
    <w:rsid w:val="00746F6A"/>
    <w:rsid w:val="00750887"/>
    <w:rsid w:val="00762B4F"/>
    <w:rsid w:val="00767DDD"/>
    <w:rsid w:val="007715D5"/>
    <w:rsid w:val="00772B65"/>
    <w:rsid w:val="007736E2"/>
    <w:rsid w:val="00775D51"/>
    <w:rsid w:val="0079717C"/>
    <w:rsid w:val="007A12D3"/>
    <w:rsid w:val="007A373A"/>
    <w:rsid w:val="007A7FE8"/>
    <w:rsid w:val="007B3629"/>
    <w:rsid w:val="007B6670"/>
    <w:rsid w:val="007F4E8E"/>
    <w:rsid w:val="008024A2"/>
    <w:rsid w:val="008136DB"/>
    <w:rsid w:val="00826F06"/>
    <w:rsid w:val="0082714B"/>
    <w:rsid w:val="00827FD0"/>
    <w:rsid w:val="008443FE"/>
    <w:rsid w:val="0085283A"/>
    <w:rsid w:val="00865067"/>
    <w:rsid w:val="00881891"/>
    <w:rsid w:val="0088620F"/>
    <w:rsid w:val="008A192C"/>
    <w:rsid w:val="008A3466"/>
    <w:rsid w:val="008C545D"/>
    <w:rsid w:val="008C54AD"/>
    <w:rsid w:val="008D1304"/>
    <w:rsid w:val="008D3992"/>
    <w:rsid w:val="008D4821"/>
    <w:rsid w:val="008E1637"/>
    <w:rsid w:val="008E7431"/>
    <w:rsid w:val="008E7E0F"/>
    <w:rsid w:val="00900A98"/>
    <w:rsid w:val="009055EC"/>
    <w:rsid w:val="00913EA3"/>
    <w:rsid w:val="00917D02"/>
    <w:rsid w:val="00920877"/>
    <w:rsid w:val="009325C1"/>
    <w:rsid w:val="009379E7"/>
    <w:rsid w:val="00941750"/>
    <w:rsid w:val="00966906"/>
    <w:rsid w:val="00976280"/>
    <w:rsid w:val="00980003"/>
    <w:rsid w:val="0098786C"/>
    <w:rsid w:val="009A65F8"/>
    <w:rsid w:val="009A7538"/>
    <w:rsid w:val="009C7F38"/>
    <w:rsid w:val="009D0485"/>
    <w:rsid w:val="009D0A2C"/>
    <w:rsid w:val="009D4630"/>
    <w:rsid w:val="009E0B31"/>
    <w:rsid w:val="00A12DC2"/>
    <w:rsid w:val="00A173ED"/>
    <w:rsid w:val="00A20EFF"/>
    <w:rsid w:val="00A32A52"/>
    <w:rsid w:val="00A37CF1"/>
    <w:rsid w:val="00A422BF"/>
    <w:rsid w:val="00A42B30"/>
    <w:rsid w:val="00A440A0"/>
    <w:rsid w:val="00A56FFC"/>
    <w:rsid w:val="00A64487"/>
    <w:rsid w:val="00A82D53"/>
    <w:rsid w:val="00AB2895"/>
    <w:rsid w:val="00AD1A5D"/>
    <w:rsid w:val="00AD205D"/>
    <w:rsid w:val="00AD76DF"/>
    <w:rsid w:val="00AE1C4E"/>
    <w:rsid w:val="00AF3AD2"/>
    <w:rsid w:val="00AF7D85"/>
    <w:rsid w:val="00B03278"/>
    <w:rsid w:val="00B03B1E"/>
    <w:rsid w:val="00B0518A"/>
    <w:rsid w:val="00B11421"/>
    <w:rsid w:val="00B14198"/>
    <w:rsid w:val="00B321E9"/>
    <w:rsid w:val="00B353AF"/>
    <w:rsid w:val="00B371D5"/>
    <w:rsid w:val="00B37AE5"/>
    <w:rsid w:val="00B542CD"/>
    <w:rsid w:val="00B54D02"/>
    <w:rsid w:val="00B559AC"/>
    <w:rsid w:val="00B562AC"/>
    <w:rsid w:val="00B56A78"/>
    <w:rsid w:val="00B62382"/>
    <w:rsid w:val="00B65144"/>
    <w:rsid w:val="00B66EC8"/>
    <w:rsid w:val="00B76179"/>
    <w:rsid w:val="00BA232C"/>
    <w:rsid w:val="00BA4056"/>
    <w:rsid w:val="00BB3AFB"/>
    <w:rsid w:val="00BC1605"/>
    <w:rsid w:val="00BC358A"/>
    <w:rsid w:val="00BD03EC"/>
    <w:rsid w:val="00BE13FB"/>
    <w:rsid w:val="00BF703F"/>
    <w:rsid w:val="00C03715"/>
    <w:rsid w:val="00C1593D"/>
    <w:rsid w:val="00C24CD8"/>
    <w:rsid w:val="00C2695F"/>
    <w:rsid w:val="00C26B0F"/>
    <w:rsid w:val="00C27B50"/>
    <w:rsid w:val="00C36F79"/>
    <w:rsid w:val="00C616EC"/>
    <w:rsid w:val="00C63231"/>
    <w:rsid w:val="00C6339D"/>
    <w:rsid w:val="00C80ADC"/>
    <w:rsid w:val="00C9781A"/>
    <w:rsid w:val="00CA75A7"/>
    <w:rsid w:val="00CB7D19"/>
    <w:rsid w:val="00CC03B7"/>
    <w:rsid w:val="00CC7059"/>
    <w:rsid w:val="00CE27AA"/>
    <w:rsid w:val="00CF21C3"/>
    <w:rsid w:val="00D0172A"/>
    <w:rsid w:val="00D02C24"/>
    <w:rsid w:val="00D041C6"/>
    <w:rsid w:val="00D15119"/>
    <w:rsid w:val="00D1525E"/>
    <w:rsid w:val="00D23AEA"/>
    <w:rsid w:val="00D33D00"/>
    <w:rsid w:val="00D34CEA"/>
    <w:rsid w:val="00D4577C"/>
    <w:rsid w:val="00D5502B"/>
    <w:rsid w:val="00D75958"/>
    <w:rsid w:val="00D76622"/>
    <w:rsid w:val="00D85A29"/>
    <w:rsid w:val="00DA00D7"/>
    <w:rsid w:val="00DB1AA4"/>
    <w:rsid w:val="00DB2923"/>
    <w:rsid w:val="00DB3989"/>
    <w:rsid w:val="00DB6361"/>
    <w:rsid w:val="00DC1447"/>
    <w:rsid w:val="00DC5378"/>
    <w:rsid w:val="00DD7486"/>
    <w:rsid w:val="00DE3054"/>
    <w:rsid w:val="00DF02DC"/>
    <w:rsid w:val="00E060A3"/>
    <w:rsid w:val="00E11D7C"/>
    <w:rsid w:val="00E238AC"/>
    <w:rsid w:val="00E330BD"/>
    <w:rsid w:val="00E33F59"/>
    <w:rsid w:val="00E51CE4"/>
    <w:rsid w:val="00E66A5A"/>
    <w:rsid w:val="00E71232"/>
    <w:rsid w:val="00E715DE"/>
    <w:rsid w:val="00E8049F"/>
    <w:rsid w:val="00E81744"/>
    <w:rsid w:val="00E9159D"/>
    <w:rsid w:val="00E91737"/>
    <w:rsid w:val="00EA34C9"/>
    <w:rsid w:val="00EA3B36"/>
    <w:rsid w:val="00EB6F87"/>
    <w:rsid w:val="00ED06C0"/>
    <w:rsid w:val="00EE1CCF"/>
    <w:rsid w:val="00F00391"/>
    <w:rsid w:val="00F0298E"/>
    <w:rsid w:val="00F06D6C"/>
    <w:rsid w:val="00F070CF"/>
    <w:rsid w:val="00F12715"/>
    <w:rsid w:val="00F161A6"/>
    <w:rsid w:val="00F22119"/>
    <w:rsid w:val="00F22EDE"/>
    <w:rsid w:val="00F304EF"/>
    <w:rsid w:val="00F418A9"/>
    <w:rsid w:val="00F46192"/>
    <w:rsid w:val="00F5543B"/>
    <w:rsid w:val="00F55624"/>
    <w:rsid w:val="00F60B9E"/>
    <w:rsid w:val="00F65510"/>
    <w:rsid w:val="00F65DD7"/>
    <w:rsid w:val="00F66ADD"/>
    <w:rsid w:val="00F71409"/>
    <w:rsid w:val="00F76B7E"/>
    <w:rsid w:val="00F83540"/>
    <w:rsid w:val="00F868F6"/>
    <w:rsid w:val="00F93C02"/>
    <w:rsid w:val="00F955AC"/>
    <w:rsid w:val="00F96932"/>
    <w:rsid w:val="00FB2E1B"/>
    <w:rsid w:val="00FB6DFC"/>
    <w:rsid w:val="00FC0D45"/>
    <w:rsid w:val="00FC7C94"/>
    <w:rsid w:val="00FE0ED5"/>
    <w:rsid w:val="00FF1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630"/>
    <w:pPr>
      <w:suppressAutoHyphens/>
    </w:pPr>
    <w:rPr>
      <w:rFonts w:ascii="Cambria" w:eastAsia="Droid Sans Fallback" w:hAnsi="Cambria" w:cs="font399"/>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Reference1">
    <w:name w:val="Comment Reference1"/>
    <w:rsid w:val="009D4630"/>
    <w:rPr>
      <w:sz w:val="18"/>
      <w:szCs w:val="18"/>
    </w:rPr>
  </w:style>
  <w:style w:type="character" w:customStyle="1" w:styleId="CommentTextChar">
    <w:name w:val="Comment Text Char"/>
    <w:basedOn w:val="DefaultParagraphFont"/>
    <w:rsid w:val="009D4630"/>
  </w:style>
  <w:style w:type="character" w:customStyle="1" w:styleId="CommentSubjectChar">
    <w:name w:val="Comment Subject Char"/>
    <w:rsid w:val="009D4630"/>
    <w:rPr>
      <w:b/>
      <w:bCs/>
      <w:sz w:val="20"/>
      <w:szCs w:val="20"/>
    </w:rPr>
  </w:style>
  <w:style w:type="character" w:customStyle="1" w:styleId="BalloonTextChar">
    <w:name w:val="Balloon Text Char"/>
    <w:rsid w:val="009D4630"/>
    <w:rPr>
      <w:rFonts w:ascii="Times New Roman" w:hAnsi="Times New Roman" w:cs="Times New Roman"/>
      <w:sz w:val="18"/>
      <w:szCs w:val="18"/>
    </w:rPr>
  </w:style>
  <w:style w:type="character" w:customStyle="1" w:styleId="apple-converted-space">
    <w:name w:val="apple-converted-space"/>
    <w:basedOn w:val="DefaultParagraphFont"/>
    <w:rsid w:val="009D4630"/>
  </w:style>
  <w:style w:type="character" w:customStyle="1" w:styleId="HeaderChar">
    <w:name w:val="Header Char"/>
    <w:basedOn w:val="DefaultParagraphFont"/>
    <w:rsid w:val="009D4630"/>
  </w:style>
  <w:style w:type="character" w:customStyle="1" w:styleId="FooterChar">
    <w:name w:val="Footer Char"/>
    <w:basedOn w:val="DefaultParagraphFont"/>
    <w:rsid w:val="009D4630"/>
  </w:style>
  <w:style w:type="character" w:styleId="Hyperlink">
    <w:name w:val="Hyperlink"/>
    <w:rsid w:val="009D4630"/>
    <w:rPr>
      <w:color w:val="0000FF"/>
      <w:u w:val="single"/>
    </w:rPr>
  </w:style>
  <w:style w:type="character" w:customStyle="1" w:styleId="ListLabel1">
    <w:name w:val="ListLabel 1"/>
    <w:rsid w:val="009D4630"/>
    <w:rPr>
      <w:rFonts w:cs="Times New Roman"/>
    </w:rPr>
  </w:style>
  <w:style w:type="paragraph" w:customStyle="1" w:styleId="Heading">
    <w:name w:val="Heading"/>
    <w:basedOn w:val="Normal"/>
    <w:next w:val="BodyText"/>
    <w:rsid w:val="009D4630"/>
    <w:pPr>
      <w:keepNext/>
      <w:spacing w:before="240" w:after="120"/>
    </w:pPr>
    <w:rPr>
      <w:rFonts w:ascii="Liberation Sans" w:hAnsi="Liberation Sans" w:cs="FreeSans"/>
      <w:sz w:val="28"/>
      <w:szCs w:val="28"/>
    </w:rPr>
  </w:style>
  <w:style w:type="paragraph" w:styleId="BodyText">
    <w:name w:val="Body Text"/>
    <w:basedOn w:val="Normal"/>
    <w:rsid w:val="009D4630"/>
    <w:pPr>
      <w:spacing w:after="140" w:line="288" w:lineRule="auto"/>
    </w:pPr>
  </w:style>
  <w:style w:type="paragraph" w:styleId="List">
    <w:name w:val="List"/>
    <w:basedOn w:val="BodyText"/>
    <w:rsid w:val="009D4630"/>
    <w:rPr>
      <w:rFonts w:cs="FreeSans"/>
    </w:rPr>
  </w:style>
  <w:style w:type="paragraph" w:styleId="Caption">
    <w:name w:val="caption"/>
    <w:basedOn w:val="Normal"/>
    <w:uiPriority w:val="35"/>
    <w:qFormat/>
    <w:rsid w:val="009D4630"/>
    <w:pPr>
      <w:suppressLineNumbers/>
      <w:spacing w:before="120" w:after="120"/>
    </w:pPr>
    <w:rPr>
      <w:rFonts w:cs="FreeSans"/>
      <w:i/>
      <w:iCs/>
    </w:rPr>
  </w:style>
  <w:style w:type="paragraph" w:customStyle="1" w:styleId="Index">
    <w:name w:val="Index"/>
    <w:basedOn w:val="Normal"/>
    <w:rsid w:val="009D4630"/>
    <w:pPr>
      <w:suppressLineNumbers/>
    </w:pPr>
    <w:rPr>
      <w:rFonts w:cs="FreeSans"/>
    </w:rPr>
  </w:style>
  <w:style w:type="paragraph" w:styleId="ListParagraph">
    <w:name w:val="List Paragraph"/>
    <w:basedOn w:val="Normal"/>
    <w:uiPriority w:val="34"/>
    <w:qFormat/>
    <w:rsid w:val="009D4630"/>
    <w:pPr>
      <w:ind w:left="720"/>
      <w:contextualSpacing/>
    </w:pPr>
  </w:style>
  <w:style w:type="paragraph" w:customStyle="1" w:styleId="CommentText1">
    <w:name w:val="Comment Text1"/>
    <w:basedOn w:val="Normal"/>
    <w:rsid w:val="009D4630"/>
  </w:style>
  <w:style w:type="paragraph" w:customStyle="1" w:styleId="CommentSubject1">
    <w:name w:val="Comment Subject1"/>
    <w:basedOn w:val="CommentText1"/>
    <w:rsid w:val="009D4630"/>
    <w:rPr>
      <w:b/>
      <w:bCs/>
      <w:sz w:val="20"/>
      <w:szCs w:val="20"/>
    </w:rPr>
  </w:style>
  <w:style w:type="paragraph" w:styleId="BalloonText">
    <w:name w:val="Balloon Text"/>
    <w:basedOn w:val="Normal"/>
    <w:rsid w:val="009D4630"/>
    <w:rPr>
      <w:rFonts w:ascii="Times New Roman" w:hAnsi="Times New Roman" w:cs="Times New Roman"/>
      <w:sz w:val="18"/>
      <w:szCs w:val="18"/>
    </w:rPr>
  </w:style>
  <w:style w:type="paragraph" w:styleId="Bibliography">
    <w:name w:val="Bibliography"/>
    <w:basedOn w:val="Normal"/>
    <w:next w:val="Normal"/>
    <w:rsid w:val="009D4630"/>
    <w:pPr>
      <w:tabs>
        <w:tab w:val="left" w:pos="500"/>
      </w:tabs>
      <w:spacing w:after="240"/>
      <w:ind w:left="720" w:hanging="720"/>
    </w:pPr>
  </w:style>
  <w:style w:type="paragraph" w:customStyle="1" w:styleId="Caption1">
    <w:name w:val="Caption1"/>
    <w:basedOn w:val="Normal"/>
    <w:next w:val="Normal"/>
    <w:rsid w:val="009D4630"/>
    <w:pPr>
      <w:spacing w:after="200"/>
    </w:pPr>
    <w:rPr>
      <w:i/>
      <w:iCs/>
      <w:color w:val="1F497D"/>
      <w:sz w:val="18"/>
      <w:szCs w:val="18"/>
    </w:rPr>
  </w:style>
  <w:style w:type="paragraph" w:styleId="Header">
    <w:name w:val="header"/>
    <w:basedOn w:val="Normal"/>
    <w:rsid w:val="009D4630"/>
    <w:pPr>
      <w:tabs>
        <w:tab w:val="center" w:pos="4513"/>
        <w:tab w:val="right" w:pos="9026"/>
      </w:tabs>
    </w:pPr>
  </w:style>
  <w:style w:type="paragraph" w:styleId="Footer">
    <w:name w:val="footer"/>
    <w:basedOn w:val="Normal"/>
    <w:rsid w:val="009D4630"/>
    <w:pPr>
      <w:tabs>
        <w:tab w:val="center" w:pos="4513"/>
        <w:tab w:val="right" w:pos="9026"/>
      </w:tabs>
    </w:pPr>
  </w:style>
  <w:style w:type="character" w:styleId="CommentReference">
    <w:name w:val="annotation reference"/>
    <w:basedOn w:val="DefaultParagraphFont"/>
    <w:semiHidden/>
    <w:unhideWhenUsed/>
    <w:rsid w:val="00D75958"/>
    <w:rPr>
      <w:sz w:val="16"/>
      <w:szCs w:val="16"/>
    </w:rPr>
  </w:style>
  <w:style w:type="paragraph" w:styleId="CommentText">
    <w:name w:val="annotation text"/>
    <w:basedOn w:val="Normal"/>
    <w:link w:val="CommentTextChar1"/>
    <w:semiHidden/>
    <w:unhideWhenUsed/>
    <w:rsid w:val="00D75958"/>
    <w:rPr>
      <w:sz w:val="20"/>
      <w:szCs w:val="20"/>
    </w:rPr>
  </w:style>
  <w:style w:type="character" w:customStyle="1" w:styleId="CommentTextChar1">
    <w:name w:val="Comment Text Char1"/>
    <w:basedOn w:val="DefaultParagraphFont"/>
    <w:link w:val="CommentText"/>
    <w:uiPriority w:val="99"/>
    <w:semiHidden/>
    <w:rsid w:val="00D75958"/>
    <w:rPr>
      <w:rFonts w:ascii="Cambria" w:eastAsia="Droid Sans Fallback" w:hAnsi="Cambria" w:cs="font399"/>
      <w:kern w:val="1"/>
    </w:rPr>
  </w:style>
  <w:style w:type="paragraph" w:styleId="CommentSubject">
    <w:name w:val="annotation subject"/>
    <w:basedOn w:val="CommentText"/>
    <w:next w:val="CommentText"/>
    <w:link w:val="CommentSubjectChar1"/>
    <w:uiPriority w:val="99"/>
    <w:semiHidden/>
    <w:unhideWhenUsed/>
    <w:rsid w:val="00D75958"/>
    <w:rPr>
      <w:b/>
      <w:bCs/>
    </w:rPr>
  </w:style>
  <w:style w:type="character" w:customStyle="1" w:styleId="CommentSubjectChar1">
    <w:name w:val="Comment Subject Char1"/>
    <w:basedOn w:val="CommentTextChar1"/>
    <w:link w:val="CommentSubject"/>
    <w:uiPriority w:val="99"/>
    <w:semiHidden/>
    <w:rsid w:val="00D75958"/>
    <w:rPr>
      <w:rFonts w:ascii="Cambria" w:eastAsia="Droid Sans Fallback" w:hAnsi="Cambria" w:cs="font399"/>
      <w:b/>
      <w:bCs/>
      <w:kern w:val="1"/>
    </w:rPr>
  </w:style>
  <w:style w:type="table" w:customStyle="1" w:styleId="LightShading-Accent11">
    <w:name w:val="Light Shading - Accent 11"/>
    <w:basedOn w:val="TableNormal"/>
    <w:uiPriority w:val="60"/>
    <w:rsid w:val="003D7C6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07B23"/>
    <w:rPr>
      <w:rFonts w:ascii="Cambria" w:eastAsia="Droid Sans Fallback" w:hAnsi="Cambria" w:cs="font399"/>
      <w:kern w:val="1"/>
      <w:sz w:val="24"/>
      <w:szCs w:val="24"/>
    </w:rPr>
  </w:style>
</w:styles>
</file>

<file path=word/webSettings.xml><?xml version="1.0" encoding="utf-8"?>
<w:webSettings xmlns:r="http://schemas.openxmlformats.org/officeDocument/2006/relationships" xmlns:w="http://schemas.openxmlformats.org/wordprocessingml/2006/main">
  <w:divs>
    <w:div w:id="631011653">
      <w:bodyDiv w:val="1"/>
      <w:marLeft w:val="0"/>
      <w:marRight w:val="0"/>
      <w:marTop w:val="0"/>
      <w:marBottom w:val="0"/>
      <w:divBdr>
        <w:top w:val="none" w:sz="0" w:space="0" w:color="auto"/>
        <w:left w:val="none" w:sz="0" w:space="0" w:color="auto"/>
        <w:bottom w:val="none" w:sz="0" w:space="0" w:color="auto"/>
        <w:right w:val="none" w:sz="0" w:space="0" w:color="auto"/>
      </w:divBdr>
    </w:div>
    <w:div w:id="20750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Fearon</dc:creator>
  <cp:lastModifiedBy>JB-CNL</cp:lastModifiedBy>
  <cp:revision>41</cp:revision>
  <cp:lastPrinted>2018-08-14T08:28:00Z</cp:lastPrinted>
  <dcterms:created xsi:type="dcterms:W3CDTF">2019-05-19T08:54:00Z</dcterms:created>
  <dcterms:modified xsi:type="dcterms:W3CDTF">2019-05-28T14:11:00Z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APERS2_INFO_01">
    <vt:lpwstr>&lt;</vt:lpwstr>
  </property>
  <property fmtid="{D5CDD505-2E9C-101B-9397-08002B2CF9AE}" pid="8" name="ScaleCrop">
    <vt:bool>false</vt:bool>
  </property>
  <property fmtid="{D5CDD505-2E9C-101B-9397-08002B2CF9AE}" pid="9" name="ShareDoc">
    <vt:bool>false</vt:bool>
  </property>
  <property fmtid="{D5CDD505-2E9C-101B-9397-08002B2CF9AE}" pid="10" name="ZOTERO_PREF_1">
    <vt:lpwstr>&lt;data data-version="3" zotero-version="5.0.62"&gt;&lt;session id="xJ7fAo7O"/&gt;&lt;style id="http://www.zotero.org/styles/clinical-neurophysiology" hasBibliography="1" bibliographyStyleHasBeenSet="1"/&gt;&lt;prefs&gt;&lt;pref name="fieldType" value="Field"/&gt;&lt;/prefs&gt;&lt;/data&gt;</vt:lpwstr>
  </property>
  <property fmtid="{D5CDD505-2E9C-101B-9397-08002B2CF9AE}" pid="11" name="ZOTERO_PREF_2">
    <vt:lpwstr/>
  </property>
</Properties>
</file>