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NovaCart Warranty Guide</w:t>
      </w:r>
    </w:p>
    <w:p>
      <w:r>
        <w:t>Fictional internal/customer-facing reference document.</w:t>
      </w:r>
    </w:p>
    <w:p>
      <w:pPr>
        <w:pStyle w:val="Heading1"/>
      </w:pPr>
      <w:r>
        <w:t>Warranty Basics</w:t>
      </w:r>
    </w:p>
    <w:p>
      <w:r>
        <w:t>Warranty duration varies by product. Warranty normally covers manufacturing defects under normal intended use.</w:t>
      </w:r>
    </w:p>
    <w:p>
      <w:pPr>
        <w:pStyle w:val="Heading1"/>
      </w:pPr>
      <w:r>
        <w:t>Examples</w:t>
      </w:r>
    </w:p>
    <w:p>
      <w:r>
        <w:t>NCB-100: 12 months. NKM-10: 18 months. NCM-24: 24 months. NCL-200: 12 months manufacturer warranty.</w:t>
      </w:r>
    </w:p>
    <w:p>
      <w:pPr>
        <w:pStyle w:val="Heading1"/>
      </w:pPr>
      <w:r>
        <w:t>Exclusions</w:t>
      </w:r>
    </w:p>
    <w:p>
      <w:r>
        <w:t>Accidental damage, liquid damage beyond the product's stated resistance, unauthorized repair, cosmetic wear, and misuse may be excluded.</w:t>
      </w:r>
    </w:p>
    <w:p>
      <w:pPr>
        <w:pStyle w:val="Heading1"/>
      </w:pPr>
      <w:r>
        <w:t>Service</w:t>
      </w:r>
    </w:p>
    <w:p>
      <w:r>
        <w:t>Customers should provide the order number, product SKU, and a description of the issue when contacting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