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C808" w14:textId="51ECCCCB" w:rsidR="00E03BC8" w:rsidRDefault="00E03BC8" w:rsidP="00E03BC8">
      <w:pPr>
        <w:spacing w:after="40"/>
        <w:rPr>
          <w:rFonts w:ascii="Abadi" w:hAnsi="Abadi"/>
          <w:b/>
          <w:bCs/>
          <w:color w:val="004167"/>
          <w:sz w:val="34"/>
          <w:szCs w:val="34"/>
        </w:rPr>
      </w:pPr>
      <w:r w:rsidRPr="00E03BC8">
        <w:rPr>
          <w:rFonts w:ascii="Abadi" w:hAnsi="Abadi"/>
          <w:b/>
          <w:bCs/>
          <w:noProof/>
          <w:color w:val="004167"/>
          <w:sz w:val="34"/>
          <w:szCs w:val="34"/>
        </w:rPr>
        <w:drawing>
          <wp:inline distT="0" distB="0" distL="0" distR="0" wp14:anchorId="4C86ABB8" wp14:editId="3CC4AD1A">
            <wp:extent cx="2649341" cy="695325"/>
            <wp:effectExtent l="0" t="0" r="0" b="0"/>
            <wp:docPr id="1915821611" name="Picture 1" descr="Full color logo for NEST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color logo for NEST3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40" cy="69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543D" w14:textId="77777777" w:rsidR="00B77219" w:rsidRDefault="00B77219" w:rsidP="00E03BC8">
      <w:pPr>
        <w:spacing w:after="40"/>
        <w:rPr>
          <w:rFonts w:ascii="Abadi" w:hAnsi="Abadi"/>
          <w:b/>
          <w:bCs/>
          <w:color w:val="004167"/>
          <w:sz w:val="34"/>
          <w:szCs w:val="34"/>
        </w:rPr>
      </w:pPr>
    </w:p>
    <w:p w14:paraId="2B03482F" w14:textId="14598AFF" w:rsidR="004B30C6" w:rsidRPr="00484233" w:rsidRDefault="00C14940">
      <w:pPr>
        <w:spacing w:after="40"/>
        <w:jc w:val="center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34"/>
          <w:szCs w:val="34"/>
        </w:rPr>
        <w:t>CPAP Device Estimation Tool</w:t>
      </w:r>
      <w:r w:rsidR="00D52F85">
        <w:rPr>
          <w:rFonts w:ascii="Abadi" w:hAnsi="Abadi"/>
          <w:b/>
          <w:bCs/>
          <w:color w:val="004167"/>
          <w:sz w:val="34"/>
          <w:szCs w:val="34"/>
        </w:rPr>
        <w:t xml:space="preserve"> v1</w:t>
      </w:r>
      <w:r w:rsidR="00CA5CAD">
        <w:rPr>
          <w:rFonts w:ascii="Abadi" w:hAnsi="Abadi"/>
          <w:b/>
          <w:bCs/>
          <w:color w:val="004167"/>
          <w:sz w:val="34"/>
          <w:szCs w:val="34"/>
        </w:rPr>
        <w:t>.1</w:t>
      </w:r>
    </w:p>
    <w:p w14:paraId="4CA479B5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What the tool does</w:t>
      </w:r>
    </w:p>
    <w:p w14:paraId="5CDDFF73" w14:textId="3C496BDA" w:rsidR="004B30C6" w:rsidRPr="00484233" w:rsidRDefault="00C14940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This tool estimates how many CPAP (Continuous Positive Airway Pressure) breathing-support devices a hospital newborn unit needs. It takes two simple inputs - average monthly admissions and the hospital's level of care - and returns a device count with a 95% confidence range. It was built from patient-level records (2021-2026) across 105 hospitals in five African countries (Ethiopia, Kenya, Malawi, Nigeria, Tanzania), in partnership with the NEST360 Alliance.</w:t>
      </w:r>
    </w:p>
    <w:p w14:paraId="17CAF181" w14:textId="77777777" w:rsidR="00484233" w:rsidRDefault="00C14940" w:rsidP="00484233">
      <w:pPr>
        <w:spacing w:before="120"/>
        <w:rPr>
          <w:rFonts w:ascii="Abadi" w:hAnsi="Abadi"/>
          <w:i/>
          <w:iCs/>
          <w:color w:val="5B6470"/>
          <w:sz w:val="18"/>
          <w:szCs w:val="18"/>
        </w:rPr>
      </w:pPr>
      <w:r w:rsidRPr="00484233">
        <w:rPr>
          <w:rFonts w:ascii="Abadi" w:hAnsi="Abadi"/>
          <w:i/>
          <w:iCs/>
          <w:color w:val="5B6470"/>
          <w:sz w:val="18"/>
          <w:szCs w:val="18"/>
        </w:rPr>
        <w:t>Capacity to provide quality CPAP (staffing, infrastructure, oxygen supply, monitoring, etc.) must be assessed at each hospital before this estimate is used to inform procurement decisions.</w:t>
      </w:r>
    </w:p>
    <w:p w14:paraId="4B9DD1CB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How it works</w:t>
      </w:r>
    </w:p>
    <w:p w14:paraId="00862B9F" w14:textId="77777777" w:rsidR="004B30C6" w:rsidRPr="00484233" w:rsidRDefault="00C14940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i/>
          <w:iCs/>
          <w:color w:val="222222"/>
          <w:sz w:val="19"/>
          <w:szCs w:val="19"/>
        </w:rPr>
        <w:t>Base devices = ROUNDUP(Admissions × Eligibility rate × Length of treatment / 30 × Surge factor)</w:t>
      </w:r>
      <w:r w:rsidRPr="00484233">
        <w:rPr>
          <w:rFonts w:ascii="Abadi" w:hAnsi="Abadi"/>
          <w:i/>
          <w:iCs/>
          <w:color w:val="222222"/>
          <w:sz w:val="19"/>
          <w:szCs w:val="19"/>
        </w:rPr>
        <w:br/>
      </w:r>
      <w:r>
        <w:rPr>
          <w:rFonts w:ascii="Abadi" w:hAnsi="Abadi"/>
          <w:i/>
          <w:color w:val="222222"/>
          <w:sz w:val="19"/>
        </w:rPr>
        <w:t>Maintenance buffer = 0 if Base devices = 0; otherwise at least 1, rounded up from Base devices × Maintenance rate</w:t>
      </w:r>
      <w:r>
        <w:rPr>
          <w:rFonts w:ascii="Abadi" w:hAnsi="Abadi"/>
          <w:i/>
          <w:color w:val="222222"/>
          <w:sz w:val="19"/>
        </w:rPr>
        <w:br/>
        <w:t>Devices needed = Base devices + Maintenance buffer</w:t>
      </w:r>
    </w:p>
    <w:p w14:paraId="36442231" w14:textId="77777777" w:rsidR="004B30C6" w:rsidRPr="00484233" w:rsidRDefault="00C14940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In plain terms: how many babies need CPAP each month, multiplied by how long each one typically stays on a device, gives the average number of devices in use at once. We then add a margin for busier-than-average periods (surge), and separately add a maintenance buffer for devices temporarily out of service for repair - calculated on its own so it doesn't disappear to zero for smaller hospitals, as it would if folded into one combined rounding step.</w:t>
      </w:r>
    </w:p>
    <w:p w14:paraId="6EE08AD0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Key methodological decisions</w:t>
      </w:r>
    </w:p>
    <w:p w14:paraId="373A5123" w14:textId="4E464A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Eligibility (who needs CPAP) is based on a hybrid of clinical criteria, observed rates at well-supplied hospitals, and expert opinion </w:t>
      </w:r>
      <w:r w:rsidR="00D007D1" w:rsidRPr="00484233">
        <w:rPr>
          <w:rFonts w:ascii="Abadi" w:hAnsi="Abadi"/>
          <w:color w:val="222222"/>
          <w:sz w:val="19"/>
          <w:szCs w:val="19"/>
        </w:rPr>
        <w:t>-</w:t>
      </w:r>
      <w:r w:rsidRPr="00484233">
        <w:rPr>
          <w:rFonts w:ascii="Abadi" w:hAnsi="Abadi"/>
          <w:color w:val="222222"/>
          <w:sz w:val="19"/>
          <w:szCs w:val="19"/>
        </w:rPr>
        <w:t xml:space="preserve"> and a baby who received CPAP always counts as having needed it, regardless of documentation.</w:t>
      </w:r>
    </w:p>
    <w:p w14:paraId="5347840E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Length of treatment uses a competing-risks statistical method (Restricted Mean Time Lost, RMTL) that separates babies who died on CPAP from babies who recovered, so that early deaths do not distort the treatment-duration figure.</w:t>
      </w:r>
    </w:p>
    <w:p w14:paraId="79A1ECD7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Hospitals are grouped into three levels aligned with WHO newborn care standards: Level II Basic (small district/mission hospitals), Level II Comprehensive (larger district/regional hospitals), and Level III (tertiary/referral hospitals).</w:t>
      </w:r>
    </w:p>
    <w:p w14:paraId="5407F98D" w14:textId="187D78EA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Surge (2.0×) and maintenance buffer (3.4%) are fixed values, </w:t>
      </w:r>
      <w:r w:rsidR="009E3399">
        <w:rPr>
          <w:rFonts w:ascii="Abadi" w:hAnsi="Abadi"/>
          <w:color w:val="222222"/>
          <w:sz w:val="19"/>
          <w:szCs w:val="19"/>
        </w:rPr>
        <w:t xml:space="preserve">derived empirically </w:t>
      </w:r>
      <w:r w:rsidRPr="00484233">
        <w:rPr>
          <w:rFonts w:ascii="Abadi" w:hAnsi="Abadi"/>
          <w:color w:val="222222"/>
          <w:sz w:val="19"/>
          <w:szCs w:val="19"/>
        </w:rPr>
        <w:t xml:space="preserve">from </w:t>
      </w:r>
      <w:r w:rsidR="009E3399">
        <w:rPr>
          <w:rFonts w:ascii="Abadi" w:hAnsi="Abadi"/>
          <w:color w:val="222222"/>
          <w:sz w:val="19"/>
          <w:szCs w:val="19"/>
        </w:rPr>
        <w:t xml:space="preserve">daily CPAP eligible admissions data </w:t>
      </w:r>
      <w:r w:rsidRPr="00484233">
        <w:rPr>
          <w:rFonts w:ascii="Abadi" w:hAnsi="Abadi"/>
          <w:color w:val="222222"/>
          <w:sz w:val="19"/>
          <w:szCs w:val="19"/>
        </w:rPr>
        <w:t>and equipment audit data respectively, applied the same way across all hospital levels.</w:t>
      </w:r>
    </w:p>
    <w:p w14:paraId="0FED7B9D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Devices needed are calculated in two rounded steps - demand and surge together, then a maintenance buffer rounded separately and always at least one device once there is real demand - so the buffer doesn't vanish for smaller hospitals, without the extra inflation that would come from rounding every step independently.</w:t>
      </w:r>
    </w:p>
    <w:p w14:paraId="50FD8364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What we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2160"/>
        <w:gridCol w:w="1050"/>
        <w:gridCol w:w="1450"/>
      </w:tblGrid>
      <w:tr w:rsidR="004B30C6" w:rsidRPr="00484233" w14:paraId="02D9A1A9" w14:textId="77777777"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861F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Level of care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113B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Eligibility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C03A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Treatment length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48F5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Surge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E1AE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Maintenance</w:t>
            </w:r>
          </w:p>
        </w:tc>
      </w:tr>
      <w:tr w:rsidR="004B30C6" w:rsidRPr="00484233" w14:paraId="1D705078" w14:textId="77777777"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94E0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Level II Basic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5655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18.2%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B626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4.24 days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9D48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2.0×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A5F4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3.4%</w:t>
            </w:r>
          </w:p>
        </w:tc>
      </w:tr>
      <w:tr w:rsidR="004B30C6" w:rsidRPr="00484233" w14:paraId="3ABAF0B3" w14:textId="77777777"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C25D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Level II Comprehensive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6185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16.2%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0F58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4.25 days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8F9D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2.0×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628F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3.4%</w:t>
            </w:r>
          </w:p>
        </w:tc>
      </w:tr>
      <w:tr w:rsidR="004B30C6" w:rsidRPr="00484233" w14:paraId="329A93C9" w14:textId="77777777"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DA52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Level III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46B9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28.9%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CCE6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4.28 days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550A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2.0×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5766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3.4%</w:t>
            </w:r>
          </w:p>
        </w:tc>
      </w:tr>
    </w:tbl>
    <w:p w14:paraId="6F24548B" w14:textId="77777777" w:rsidR="004B30C6" w:rsidRPr="00484233" w:rsidRDefault="00C14940">
      <w:pPr>
        <w:spacing w:before="100" w:after="100"/>
        <w:rPr>
          <w:rFonts w:ascii="Abadi" w:hAnsi="Abadi"/>
        </w:rPr>
      </w:pPr>
      <w:r w:rsidRPr="00484233">
        <w:rPr>
          <w:rFonts w:ascii="Abadi" w:hAnsi="Abadi"/>
          <w:i/>
          <w:iCs/>
          <w:color w:val="5B6470"/>
          <w:sz w:val="17"/>
          <w:szCs w:val="17"/>
        </w:rPr>
        <w:t>All figures are empirically derived from data, with confidence intervals available in the underlying analysis.</w:t>
      </w:r>
    </w:p>
    <w:p w14:paraId="5FCC5720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Strengths</w:t>
      </w:r>
    </w:p>
    <w:p w14:paraId="3D373F91" w14:textId="02EE58D5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Parameters are derived from </w:t>
      </w:r>
      <w:r w:rsidR="00610189" w:rsidRPr="00484233">
        <w:rPr>
          <w:rFonts w:ascii="Abadi" w:hAnsi="Abadi"/>
          <w:color w:val="222222"/>
          <w:sz w:val="19"/>
          <w:szCs w:val="19"/>
        </w:rPr>
        <w:t>historical</w:t>
      </w:r>
      <w:r w:rsidRPr="00484233">
        <w:rPr>
          <w:rFonts w:ascii="Abadi" w:hAnsi="Abadi"/>
          <w:color w:val="222222"/>
          <w:sz w:val="19"/>
          <w:szCs w:val="19"/>
        </w:rPr>
        <w:t xml:space="preserve"> hospital data.</w:t>
      </w:r>
    </w:p>
    <w:p w14:paraId="0B8E6875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Accounts for hospitals where CPAP supply is constrained or coverage data is unreliable, rather than treating all hospitals as equally trustworthy sources.</w:t>
      </w:r>
    </w:p>
    <w:p w14:paraId="714A0E9E" w14:textId="427ACE9E" w:rsidR="004B30C6" w:rsidRPr="00484233" w:rsidRDefault="00610189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S</w:t>
      </w:r>
      <w:r w:rsidR="00C14940" w:rsidRPr="00484233">
        <w:rPr>
          <w:rFonts w:ascii="Abadi" w:hAnsi="Abadi"/>
          <w:color w:val="222222"/>
          <w:sz w:val="19"/>
          <w:szCs w:val="19"/>
        </w:rPr>
        <w:t xml:space="preserve">eparates death from recovery when estimating treatment duration, avoiding </w:t>
      </w:r>
      <w:r w:rsidR="00DB0D83" w:rsidRPr="00484233">
        <w:rPr>
          <w:rFonts w:ascii="Abadi" w:hAnsi="Abadi"/>
          <w:color w:val="222222"/>
          <w:sz w:val="19"/>
          <w:szCs w:val="19"/>
        </w:rPr>
        <w:t>b</w:t>
      </w:r>
      <w:r w:rsidR="00C14940" w:rsidRPr="00484233">
        <w:rPr>
          <w:rFonts w:ascii="Abadi" w:hAnsi="Abadi"/>
          <w:color w:val="222222"/>
          <w:sz w:val="19"/>
          <w:szCs w:val="19"/>
        </w:rPr>
        <w:t>ias</w:t>
      </w:r>
      <w:r w:rsidR="00DB0D83" w:rsidRPr="00484233">
        <w:rPr>
          <w:rFonts w:ascii="Abadi" w:hAnsi="Abadi"/>
          <w:color w:val="222222"/>
          <w:sz w:val="19"/>
          <w:szCs w:val="19"/>
        </w:rPr>
        <w:t xml:space="preserve"> from competing risks (death) before successful weaning</w:t>
      </w:r>
      <w:r w:rsidR="00547128" w:rsidRPr="00484233">
        <w:rPr>
          <w:rFonts w:ascii="Abadi" w:hAnsi="Abadi"/>
          <w:color w:val="222222"/>
          <w:sz w:val="19"/>
          <w:szCs w:val="19"/>
        </w:rPr>
        <w:t xml:space="preserve"> or undocumented wean time for babies that survive</w:t>
      </w:r>
      <w:r w:rsidR="00C14940" w:rsidRPr="00484233">
        <w:rPr>
          <w:rFonts w:ascii="Abadi" w:hAnsi="Abadi"/>
          <w:color w:val="222222"/>
          <w:sz w:val="19"/>
          <w:szCs w:val="19"/>
        </w:rPr>
        <w:t>.</w:t>
      </w:r>
    </w:p>
    <w:p w14:paraId="411FB37E" w14:textId="74B3DCED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Every estimate comes with a 95% confidence range, making the underlying uncertainty explicit.</w:t>
      </w:r>
    </w:p>
    <w:p w14:paraId="7835B86B" w14:textId="33B3DAA3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lastRenderedPageBreak/>
        <w:t>Aligned with WHO's newborn care level-of-care framework (WHO, 2020), so results are relatable across health systems in various settings.</w:t>
      </w:r>
    </w:p>
    <w:p w14:paraId="3FF0E44C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Caveats and limitations</w:t>
      </w:r>
    </w:p>
    <w:p w14:paraId="1773022A" w14:textId="3C0FFA93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Reflects current practice, not a clinical guideline for ideal treatment length</w:t>
      </w:r>
      <w:r w:rsidR="0093721F" w:rsidRPr="00484233">
        <w:rPr>
          <w:rFonts w:ascii="Abadi" w:hAnsi="Abadi"/>
          <w:color w:val="222222"/>
          <w:sz w:val="19"/>
          <w:szCs w:val="19"/>
        </w:rPr>
        <w:t>:</w:t>
      </w:r>
      <w:r w:rsidRPr="00484233">
        <w:rPr>
          <w:rFonts w:ascii="Abadi" w:hAnsi="Abadi"/>
          <w:color w:val="222222"/>
          <w:sz w:val="19"/>
          <w:szCs w:val="19"/>
        </w:rPr>
        <w:t xml:space="preserve"> the tool answers “how many devices are needed given how hospitals currently operate,” not “how many would be needed under idealized care.”</w:t>
      </w:r>
    </w:p>
    <w:p w14:paraId="3226D4D5" w14:textId="01A60359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Documentation quality can shift the numbers in either direction; we've corrected for one known issue (missing treatment end-dates</w:t>
      </w:r>
      <w:r w:rsidR="000B4F8F" w:rsidRPr="00484233">
        <w:rPr>
          <w:rFonts w:ascii="Abadi" w:hAnsi="Abadi"/>
          <w:color w:val="222222"/>
          <w:sz w:val="19"/>
          <w:szCs w:val="19"/>
        </w:rPr>
        <w:t>) but</w:t>
      </w:r>
      <w:r w:rsidRPr="00484233">
        <w:rPr>
          <w:rFonts w:ascii="Abadi" w:hAnsi="Abadi"/>
          <w:color w:val="222222"/>
          <w:sz w:val="19"/>
          <w:szCs w:val="19"/>
        </w:rPr>
        <w:t xml:space="preserve"> cannot rule out others (e.g. recording delays</w:t>
      </w:r>
      <w:r w:rsidR="000B4F8F" w:rsidRPr="00484233">
        <w:rPr>
          <w:rFonts w:ascii="Abadi" w:hAnsi="Abadi"/>
          <w:color w:val="222222"/>
          <w:sz w:val="19"/>
          <w:szCs w:val="19"/>
        </w:rPr>
        <w:t xml:space="preserve"> or wrong moderately inaccurate time inputs</w:t>
      </w:r>
      <w:r w:rsidRPr="00484233">
        <w:rPr>
          <w:rFonts w:ascii="Abadi" w:hAnsi="Abadi"/>
          <w:color w:val="222222"/>
          <w:sz w:val="19"/>
          <w:szCs w:val="19"/>
        </w:rPr>
        <w:t>).</w:t>
      </w:r>
    </w:p>
    <w:p w14:paraId="16BFC579" w14:textId="75A62E6F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Length of treatment is blended using each hospital level's typical mix of patients by birth weight, </w:t>
      </w:r>
      <w:r w:rsidR="000B4F8F" w:rsidRPr="00484233">
        <w:rPr>
          <w:rFonts w:ascii="Abadi" w:hAnsi="Abadi"/>
          <w:color w:val="222222"/>
          <w:sz w:val="19"/>
          <w:szCs w:val="19"/>
        </w:rPr>
        <w:t xml:space="preserve">and </w:t>
      </w:r>
      <w:r w:rsidRPr="00484233">
        <w:rPr>
          <w:rFonts w:ascii="Abadi" w:hAnsi="Abadi"/>
          <w:color w:val="222222"/>
          <w:sz w:val="19"/>
          <w:szCs w:val="19"/>
        </w:rPr>
        <w:t>not any single hospital's exact case mix, which may not fit hospitals with an unusual patient profile</w:t>
      </w:r>
      <w:r w:rsidR="000B4F8F" w:rsidRPr="00484233">
        <w:rPr>
          <w:rFonts w:ascii="Abadi" w:hAnsi="Abadi"/>
          <w:color w:val="222222"/>
          <w:sz w:val="19"/>
          <w:szCs w:val="19"/>
        </w:rPr>
        <w:t>/case mix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5607817B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The Level III estimate is based on fewer hospitals than the two Level II categories, so its confidence range is wider and less precise.</w:t>
      </w:r>
    </w:p>
    <w:p w14:paraId="78FF334E" w14:textId="77777777" w:rsidR="004B30C6" w:rsidRPr="00E03BC8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This tool has not yet been validated against independently measured device counts or usage in real hospitals.</w:t>
      </w:r>
    </w:p>
    <w:p w14:paraId="24ABE4DE" w14:textId="77777777" w:rsidR="004B30C6" w:rsidRPr="00E03BC8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Level-of-care labels follow the WHO classification framework for consistency across countries; actual on-the-ground capacity at a given hospital may differ and should be verified directly, not assumed from the label alone.</w:t>
      </w:r>
    </w:p>
    <w:p w14:paraId="7177E047" w14:textId="77777777" w:rsidR="004B30C6" w:rsidRPr="00E03BC8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Device cleaning, disinfection, and preparation time between patients is not yet factored into these estimates, and would increase the effective number of devices needed beyond what is shown here.</w:t>
      </w:r>
    </w:p>
    <w:p w14:paraId="09403405" w14:textId="77777777" w:rsidR="00E03BC8" w:rsidRPr="00484233" w:rsidRDefault="00E03BC8" w:rsidP="00E03BC8">
      <w:pPr>
        <w:pStyle w:val="ListParagraph"/>
        <w:spacing w:after="60"/>
        <w:ind w:left="720"/>
        <w:rPr>
          <w:rFonts w:ascii="Abadi" w:hAnsi="Abadi"/>
        </w:rPr>
      </w:pPr>
    </w:p>
    <w:p w14:paraId="71603F8E" w14:textId="4FEB712B" w:rsidR="004B30C6" w:rsidRPr="00484233" w:rsidRDefault="00DD6DFF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Output</w:t>
      </w:r>
      <w:r w:rsidR="00C14940" w:rsidRPr="00484233">
        <w:rPr>
          <w:rFonts w:ascii="Abadi" w:hAnsi="Abadi"/>
          <w:b/>
          <w:bCs/>
          <w:color w:val="004167"/>
          <w:sz w:val="24"/>
          <w:szCs w:val="24"/>
        </w:rPr>
        <w:t xml:space="preserve"> and access</w:t>
      </w:r>
    </w:p>
    <w:p w14:paraId="3EA0B0A1" w14:textId="77777777" w:rsidR="0062356C" w:rsidRPr="00484233" w:rsidRDefault="00C14940">
      <w:pPr>
        <w:spacing w:after="120" w:line="264" w:lineRule="auto"/>
        <w:rPr>
          <w:rFonts w:ascii="Abadi" w:hAnsi="Abadi"/>
          <w:color w:val="222222"/>
          <w:sz w:val="19"/>
          <w:szCs w:val="19"/>
        </w:rPr>
      </w:pPr>
      <w:r w:rsidRPr="00484233">
        <w:rPr>
          <w:rFonts w:ascii="Abadi" w:hAnsi="Abadi"/>
          <w:color w:val="222222"/>
          <w:sz w:val="19"/>
          <w:szCs w:val="19"/>
        </w:rPr>
        <w:t>The tool is available as a simple, free web calculator, part of NEST360's Device Quantity Estimation Tools initiative: a user enters monthly admissions and selects a hospital level, and receives a device estimate with its confidence range and a breakdown of the calculation. This document is also available as a downloadable PDF directly from the tool page.</w:t>
      </w:r>
    </w:p>
    <w:p w14:paraId="14730D1F" w14:textId="4C073141" w:rsidR="004B30C6" w:rsidRPr="00484233" w:rsidRDefault="0062356C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Web link: </w:t>
      </w:r>
      <w:hyperlink r:id="rId8" w:history="1">
        <w:r w:rsidRPr="00484233">
          <w:rPr>
            <w:rStyle w:val="Hyperlink"/>
            <w:rFonts w:ascii="Abadi" w:hAnsi="Abadi"/>
            <w:sz w:val="19"/>
            <w:szCs w:val="19"/>
          </w:rPr>
          <w:t>https://cpap-calculator.zahara-quantum.com/cpap.html</w:t>
        </w:r>
      </w:hyperlink>
      <w:r w:rsidRPr="00484233">
        <w:rPr>
          <w:rFonts w:ascii="Abadi" w:hAnsi="Abadi"/>
          <w:color w:val="222222"/>
          <w:sz w:val="19"/>
          <w:szCs w:val="19"/>
        </w:rPr>
        <w:t xml:space="preserve"> </w:t>
      </w:r>
    </w:p>
    <w:p w14:paraId="1CCB0C58" w14:textId="6D4439C6" w:rsidR="004B30C6" w:rsidRPr="00484233" w:rsidRDefault="0062356C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N</w:t>
      </w:r>
      <w:r w:rsidR="00C14940" w:rsidRPr="00484233">
        <w:rPr>
          <w:rFonts w:ascii="Abadi" w:hAnsi="Abadi"/>
          <w:b/>
          <w:bCs/>
          <w:color w:val="004167"/>
          <w:sz w:val="24"/>
          <w:szCs w:val="24"/>
        </w:rPr>
        <w:t>ext steps</w:t>
      </w:r>
    </w:p>
    <w:p w14:paraId="46933B24" w14:textId="219CB4AE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Planned: independent validation against measured device use in real hospitals</w:t>
      </w:r>
      <w:r w:rsidR="00A53748" w:rsidRPr="00484233">
        <w:rPr>
          <w:rFonts w:ascii="Abadi" w:hAnsi="Abadi"/>
          <w:color w:val="222222"/>
          <w:sz w:val="19"/>
          <w:szCs w:val="19"/>
        </w:rPr>
        <w:t xml:space="preserve"> (in and outside NEST360</w:t>
      </w:r>
      <w:r w:rsidR="00C63F24" w:rsidRPr="00484233">
        <w:rPr>
          <w:rFonts w:ascii="Abadi" w:hAnsi="Abadi"/>
          <w:color w:val="222222"/>
          <w:sz w:val="19"/>
          <w:szCs w:val="19"/>
        </w:rPr>
        <w:t xml:space="preserve"> network</w:t>
      </w:r>
      <w:r w:rsidR="00A53748" w:rsidRPr="00484233">
        <w:rPr>
          <w:rFonts w:ascii="Abadi" w:hAnsi="Abadi"/>
          <w:color w:val="222222"/>
          <w:sz w:val="19"/>
          <w:szCs w:val="19"/>
        </w:rPr>
        <w:t>)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1950ADB2" w14:textId="0B0A3684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Planned: extending the same approach to other neonatal equipment beyond CPAP.</w:t>
      </w:r>
    </w:p>
    <w:p w14:paraId="1EE3F683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Under discussion: methods for rolling up hospital-level estimates into a national device-need total.</w:t>
      </w:r>
    </w:p>
    <w:p w14:paraId="4724426E" w14:textId="45EC0FB2" w:rsidR="004B30C6" w:rsidRPr="00484233" w:rsidRDefault="004B30C6" w:rsidP="00C63F24">
      <w:pPr>
        <w:spacing w:after="60"/>
        <w:rPr>
          <w:rFonts w:ascii="Abadi" w:hAnsi="Abadi"/>
        </w:rPr>
      </w:pPr>
    </w:p>
    <w:p w14:paraId="7B422F3E" w14:textId="77777777" w:rsidR="0062356C" w:rsidRPr="00484233" w:rsidRDefault="0062356C">
      <w:pPr>
        <w:spacing w:before="120"/>
        <w:rPr>
          <w:rFonts w:ascii="Abadi" w:hAnsi="Abadi"/>
          <w:i/>
          <w:iCs/>
          <w:color w:val="5B6470"/>
          <w:sz w:val="18"/>
          <w:szCs w:val="18"/>
        </w:rPr>
      </w:pPr>
    </w:p>
    <w:p w14:paraId="2A74B6AA" w14:textId="77777777" w:rsidR="00484233" w:rsidRDefault="00C14940" w:rsidP="00484233">
      <w:pPr>
        <w:spacing w:before="120"/>
        <w:jc w:val="center"/>
        <w:rPr>
          <w:rFonts w:ascii="Abadi" w:hAnsi="Abadi"/>
          <w:i/>
          <w:iCs/>
          <w:color w:val="5B6470"/>
          <w:sz w:val="18"/>
          <w:szCs w:val="18"/>
        </w:rPr>
      </w:pPr>
      <w:r w:rsidRPr="00484233">
        <w:rPr>
          <w:rFonts w:ascii="Abadi" w:hAnsi="Abadi"/>
          <w:i/>
          <w:iCs/>
          <w:color w:val="5B6470"/>
          <w:sz w:val="18"/>
          <w:szCs w:val="18"/>
        </w:rPr>
        <w:t xml:space="preserve">Questions about this tool or its methodology are welcome at any time </w:t>
      </w:r>
      <w:r w:rsidR="00D007D1" w:rsidRPr="00484233">
        <w:rPr>
          <w:rFonts w:ascii="Abadi" w:hAnsi="Abadi"/>
          <w:i/>
          <w:iCs/>
          <w:color w:val="5B6470"/>
          <w:sz w:val="18"/>
          <w:szCs w:val="18"/>
        </w:rPr>
        <w:t>-</w:t>
      </w:r>
      <w:r w:rsidRPr="00484233">
        <w:rPr>
          <w:rFonts w:ascii="Abadi" w:hAnsi="Abadi"/>
          <w:i/>
          <w:iCs/>
          <w:color w:val="5B6470"/>
          <w:sz w:val="18"/>
          <w:szCs w:val="18"/>
        </w:rPr>
        <w:t xml:space="preserve"> please reach out to the project team</w:t>
      </w:r>
      <w:r w:rsidR="00C63F24" w:rsidRPr="00484233">
        <w:rPr>
          <w:rFonts w:ascii="Abadi" w:hAnsi="Abadi"/>
          <w:i/>
          <w:iCs/>
          <w:color w:val="5B6470"/>
          <w:sz w:val="18"/>
          <w:szCs w:val="18"/>
        </w:rPr>
        <w:t xml:space="preserve"> </w:t>
      </w:r>
    </w:p>
    <w:p w14:paraId="2F6C4895" w14:textId="0BCBB2C4" w:rsidR="004B30C6" w:rsidRPr="00484233" w:rsidRDefault="00C63F24" w:rsidP="00484233">
      <w:pPr>
        <w:spacing w:before="120"/>
        <w:jc w:val="center"/>
        <w:rPr>
          <w:rFonts w:ascii="Abadi" w:hAnsi="Abadi"/>
        </w:rPr>
      </w:pPr>
      <w:r w:rsidRPr="00484233">
        <w:rPr>
          <w:rFonts w:ascii="Abadi" w:hAnsi="Abadi"/>
          <w:i/>
          <w:iCs/>
          <w:color w:val="5B6470"/>
          <w:sz w:val="18"/>
          <w:szCs w:val="18"/>
        </w:rPr>
        <w:t>(</w:t>
      </w:r>
      <w:hyperlink r:id="rId9" w:history="1">
        <w:r w:rsidR="00484233" w:rsidRPr="00484233">
          <w:rPr>
            <w:rStyle w:val="Hyperlink"/>
            <w:rFonts w:ascii="Abadi" w:hAnsi="Abadi"/>
            <w:i/>
            <w:iCs/>
            <w:sz w:val="18"/>
            <w:szCs w:val="18"/>
          </w:rPr>
          <w:t>danicakumara@gmail.com</w:t>
        </w:r>
      </w:hyperlink>
      <w:r w:rsidR="00484233" w:rsidRPr="00484233">
        <w:rPr>
          <w:rFonts w:ascii="Abadi" w:hAnsi="Abadi"/>
          <w:i/>
          <w:iCs/>
          <w:color w:val="5B6470"/>
          <w:sz w:val="18"/>
          <w:szCs w:val="18"/>
        </w:rPr>
        <w:t xml:space="preserve">, </w:t>
      </w:r>
      <w:hyperlink r:id="rId10" w:history="1">
        <w:r w:rsidR="00484233" w:rsidRPr="00484233">
          <w:rPr>
            <w:rStyle w:val="Hyperlink"/>
            <w:rFonts w:ascii="Abadi" w:hAnsi="Abadi"/>
            <w:i/>
            <w:iCs/>
            <w:sz w:val="18"/>
            <w:szCs w:val="18"/>
          </w:rPr>
          <w:t>jwainaina@rice.edu</w:t>
        </w:r>
      </w:hyperlink>
      <w:r w:rsidR="00484233" w:rsidRPr="00484233">
        <w:rPr>
          <w:rFonts w:ascii="Abadi" w:hAnsi="Abadi"/>
          <w:i/>
          <w:iCs/>
          <w:color w:val="5B6470"/>
          <w:sz w:val="18"/>
          <w:szCs w:val="18"/>
        </w:rPr>
        <w:t>)</w:t>
      </w:r>
      <w:r>
        <w:rPr>
          <w:rFonts w:ascii="Abadi" w:hAnsi="Abadi"/>
          <w:i/>
          <w:color w:val="5B6470"/>
          <w:sz w:val="18"/>
        </w:rPr>
        <w:t xml:space="preserve"> or the NEST360 Alliance (</w:t>
      </w:r>
      <w:hyperlink r:id="rId11" w:history="1">
        <w:r w:rsidR="00484233" w:rsidRPr="00484233">
          <w:rPr>
            <w:rStyle w:val="Hyperlink"/>
            <w:rFonts w:ascii="Abadi" w:hAnsi="Abadi"/>
            <w:i/>
            <w:iCs/>
            <w:sz w:val="18"/>
            <w:szCs w:val="18"/>
          </w:rPr>
          <w:t>info@nest360.org</w:t>
        </w:r>
      </w:hyperlink>
      <w:r>
        <w:rPr>
          <w:rFonts w:ascii="Abadi" w:hAnsi="Abadi"/>
          <w:i/>
          <w:color w:val="5B6470"/>
          <w:sz w:val="18"/>
        </w:rPr>
        <w:t>)</w:t>
      </w:r>
    </w:p>
    <w:sectPr w:rsidR="004B30C6" w:rsidRPr="00484233">
      <w:footerReference w:type="default" r:id="rId12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A0D82" w14:textId="77777777" w:rsidR="00F6012C" w:rsidRDefault="00F6012C" w:rsidP="0074633C">
      <w:r>
        <w:separator/>
      </w:r>
    </w:p>
  </w:endnote>
  <w:endnote w:type="continuationSeparator" w:id="0">
    <w:p w14:paraId="6250DEA3" w14:textId="77777777" w:rsidR="00F6012C" w:rsidRDefault="00F6012C" w:rsidP="00746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5342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91F76C" w14:textId="0713F5AA" w:rsidR="0074633C" w:rsidRDefault="007463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0F36EA" w14:textId="77777777" w:rsidR="0074633C" w:rsidRDefault="0074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3E12" w14:textId="77777777" w:rsidR="00F6012C" w:rsidRDefault="00F6012C" w:rsidP="0074633C">
      <w:r>
        <w:separator/>
      </w:r>
    </w:p>
  </w:footnote>
  <w:footnote w:type="continuationSeparator" w:id="0">
    <w:p w14:paraId="70F7E4F9" w14:textId="77777777" w:rsidR="00F6012C" w:rsidRDefault="00F6012C" w:rsidP="00746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F0F6E"/>
    <w:multiLevelType w:val="hybridMultilevel"/>
    <w:tmpl w:val="81589E52"/>
    <w:lvl w:ilvl="0" w:tplc="23F857B6">
      <w:start w:val="1"/>
      <w:numFmt w:val="bullet"/>
      <w:lvlText w:val="●"/>
      <w:lvlJc w:val="left"/>
      <w:pPr>
        <w:ind w:left="720" w:hanging="360"/>
      </w:pPr>
    </w:lvl>
    <w:lvl w:ilvl="1" w:tplc="793C803E">
      <w:start w:val="1"/>
      <w:numFmt w:val="bullet"/>
      <w:lvlText w:val="○"/>
      <w:lvlJc w:val="left"/>
      <w:pPr>
        <w:ind w:left="1440" w:hanging="360"/>
      </w:pPr>
    </w:lvl>
    <w:lvl w:ilvl="2" w:tplc="486849D6">
      <w:start w:val="1"/>
      <w:numFmt w:val="bullet"/>
      <w:lvlText w:val="■"/>
      <w:lvlJc w:val="left"/>
      <w:pPr>
        <w:ind w:left="2160" w:hanging="360"/>
      </w:pPr>
    </w:lvl>
    <w:lvl w:ilvl="3" w:tplc="FB94124A">
      <w:start w:val="1"/>
      <w:numFmt w:val="bullet"/>
      <w:lvlText w:val="●"/>
      <w:lvlJc w:val="left"/>
      <w:pPr>
        <w:ind w:left="2880" w:hanging="360"/>
      </w:pPr>
    </w:lvl>
    <w:lvl w:ilvl="4" w:tplc="21340E18">
      <w:start w:val="1"/>
      <w:numFmt w:val="bullet"/>
      <w:lvlText w:val="○"/>
      <w:lvlJc w:val="left"/>
      <w:pPr>
        <w:ind w:left="3600" w:hanging="360"/>
      </w:pPr>
    </w:lvl>
    <w:lvl w:ilvl="5" w:tplc="34FE7006">
      <w:start w:val="1"/>
      <w:numFmt w:val="bullet"/>
      <w:lvlText w:val="■"/>
      <w:lvlJc w:val="left"/>
      <w:pPr>
        <w:ind w:left="4320" w:hanging="360"/>
      </w:pPr>
    </w:lvl>
    <w:lvl w:ilvl="6" w:tplc="364ED92A">
      <w:start w:val="1"/>
      <w:numFmt w:val="bullet"/>
      <w:lvlText w:val="●"/>
      <w:lvlJc w:val="left"/>
      <w:pPr>
        <w:ind w:left="5040" w:hanging="360"/>
      </w:pPr>
    </w:lvl>
    <w:lvl w:ilvl="7" w:tplc="C776A4E8">
      <w:start w:val="1"/>
      <w:numFmt w:val="bullet"/>
      <w:lvlText w:val="●"/>
      <w:lvlJc w:val="left"/>
      <w:pPr>
        <w:ind w:left="5760" w:hanging="360"/>
      </w:pPr>
    </w:lvl>
    <w:lvl w:ilvl="8" w:tplc="C7CA1CAE">
      <w:start w:val="1"/>
      <w:numFmt w:val="bullet"/>
      <w:lvlText w:val="●"/>
      <w:lvlJc w:val="left"/>
      <w:pPr>
        <w:ind w:left="6480" w:hanging="360"/>
      </w:pPr>
    </w:lvl>
  </w:abstractNum>
  <w:num w:numId="1" w16cid:durableId="575359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C6"/>
    <w:rsid w:val="000B4F8F"/>
    <w:rsid w:val="000F3252"/>
    <w:rsid w:val="00336508"/>
    <w:rsid w:val="00484233"/>
    <w:rsid w:val="004B30C6"/>
    <w:rsid w:val="00547128"/>
    <w:rsid w:val="005C498D"/>
    <w:rsid w:val="00610189"/>
    <w:rsid w:val="0062356C"/>
    <w:rsid w:val="0073420D"/>
    <w:rsid w:val="0074633C"/>
    <w:rsid w:val="0093721F"/>
    <w:rsid w:val="009E3399"/>
    <w:rsid w:val="00A53748"/>
    <w:rsid w:val="00B77219"/>
    <w:rsid w:val="00C14940"/>
    <w:rsid w:val="00C63F24"/>
    <w:rsid w:val="00CA5CAD"/>
    <w:rsid w:val="00D007D1"/>
    <w:rsid w:val="00D52F85"/>
    <w:rsid w:val="00DB0D83"/>
    <w:rsid w:val="00DD6DFF"/>
    <w:rsid w:val="00E03BC8"/>
    <w:rsid w:val="00EA632E"/>
    <w:rsid w:val="00F6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62FF"/>
  <w15:docId w15:val="{77049545-2E0F-434E-BF41-ED1921ED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35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63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33C"/>
  </w:style>
  <w:style w:type="paragraph" w:styleId="Footer">
    <w:name w:val="footer"/>
    <w:basedOn w:val="Normal"/>
    <w:link w:val="FooterChar"/>
    <w:uiPriority w:val="99"/>
    <w:unhideWhenUsed/>
    <w:rsid w:val="007463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33C"/>
  </w:style>
  <w:style w:type="character" w:styleId="FollowedHyperlink">
    <w:name w:val="FollowedHyperlink"/>
    <w:basedOn w:val="DefaultParagraphFont"/>
    <w:uiPriority w:val="99"/>
    <w:semiHidden/>
    <w:unhideWhenUsed/>
    <w:rsid w:val="00CA5C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ap-calculator.zahara-quantum.com/cpap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nest360.org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jwainaina@ric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anicakumar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Mwangi</cp:lastModifiedBy>
  <cp:revision>5</cp:revision>
  <dcterms:created xsi:type="dcterms:W3CDTF">2026-08-26T07:29:00Z</dcterms:created>
  <dcterms:modified xsi:type="dcterms:W3CDTF">2026-08-28T07:43:00Z</dcterms:modified>
</cp:coreProperties>
</file>