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C808" w14:textId="51ECCCCB" w:rsidR="00E03BC8" w:rsidRDefault="00E03BC8" w:rsidP="00E03BC8">
      <w:pPr>
        <w:spacing w:after="40"/>
        <w:rPr>
          <w:rFonts w:ascii="Abadi" w:hAnsi="Abadi"/>
          <w:b/>
          <w:bCs/>
          <w:color w:val="004167"/>
          <w:sz w:val="34"/>
          <w:szCs w:val="34"/>
        </w:rPr>
      </w:pPr>
      <w:r w:rsidRPr="00E03BC8">
        <w:rPr>
          <w:rFonts w:ascii="Abadi" w:hAnsi="Abadi"/>
          <w:b/>
          <w:bCs/>
          <w:color w:val="004167"/>
          <w:sz w:val="34"/>
          <w:szCs w:val="34"/>
        </w:rPr>
        <w:drawing>
          <wp:inline distT="0" distB="0" distL="0" distR="0" wp14:anchorId="4C86ABB8" wp14:editId="3CC4AD1A">
            <wp:extent cx="2649341" cy="695325"/>
            <wp:effectExtent l="0" t="0" r="0" b="0"/>
            <wp:docPr id="1915821611" name="Picture 1" descr="Full color logo for NEST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ull color logo for NEST3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240" cy="698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A543D" w14:textId="77777777" w:rsidR="00B77219" w:rsidRDefault="00B77219" w:rsidP="00E03BC8">
      <w:pPr>
        <w:spacing w:after="40"/>
        <w:rPr>
          <w:rFonts w:ascii="Abadi" w:hAnsi="Abadi"/>
          <w:b/>
          <w:bCs/>
          <w:color w:val="004167"/>
          <w:sz w:val="34"/>
          <w:szCs w:val="34"/>
        </w:rPr>
      </w:pPr>
    </w:p>
    <w:p w14:paraId="2B03482F" w14:textId="7D9B3F27" w:rsidR="004B30C6" w:rsidRPr="00484233" w:rsidRDefault="00C14940">
      <w:pPr>
        <w:spacing w:after="40"/>
        <w:jc w:val="center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34"/>
          <w:szCs w:val="34"/>
        </w:rPr>
        <w:t>CPAP Device Estimation Tool</w:t>
      </w:r>
      <w:r w:rsidR="00D52F85">
        <w:rPr>
          <w:rFonts w:ascii="Abadi" w:hAnsi="Abadi"/>
          <w:b/>
          <w:bCs/>
          <w:color w:val="004167"/>
          <w:sz w:val="34"/>
          <w:szCs w:val="34"/>
        </w:rPr>
        <w:t xml:space="preserve"> _v1</w:t>
      </w:r>
    </w:p>
    <w:p w14:paraId="4CA479B5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What the tool does</w:t>
      </w:r>
    </w:p>
    <w:p w14:paraId="5CDDFF73" w14:textId="3C496BDA" w:rsidR="004B30C6" w:rsidRPr="00484233" w:rsidRDefault="00C14940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This tool estimates how many CPAP (Continuous Positive Airway Pressure) breathing-support devices a </w:t>
      </w:r>
      <w:r w:rsidR="00D007D1" w:rsidRPr="00484233">
        <w:rPr>
          <w:rFonts w:ascii="Abadi" w:hAnsi="Abadi"/>
          <w:color w:val="222222"/>
          <w:sz w:val="19"/>
          <w:szCs w:val="19"/>
        </w:rPr>
        <w:t xml:space="preserve">hospital </w:t>
      </w:r>
      <w:r w:rsidRPr="00484233">
        <w:rPr>
          <w:rFonts w:ascii="Abadi" w:hAnsi="Abadi"/>
          <w:color w:val="222222"/>
          <w:sz w:val="19"/>
          <w:szCs w:val="19"/>
        </w:rPr>
        <w:t xml:space="preserve">newborn </w:t>
      </w:r>
      <w:r w:rsidRPr="00484233">
        <w:rPr>
          <w:rFonts w:ascii="Abadi" w:hAnsi="Abadi"/>
          <w:color w:val="222222"/>
          <w:sz w:val="19"/>
          <w:szCs w:val="19"/>
        </w:rPr>
        <w:t xml:space="preserve">unit </w:t>
      </w:r>
      <w:r w:rsidR="00D007D1" w:rsidRPr="00484233">
        <w:rPr>
          <w:rFonts w:ascii="Abadi" w:hAnsi="Abadi"/>
          <w:color w:val="222222"/>
          <w:sz w:val="19"/>
          <w:szCs w:val="19"/>
        </w:rPr>
        <w:t>need</w:t>
      </w:r>
      <w:r w:rsidRPr="00484233">
        <w:rPr>
          <w:rFonts w:ascii="Abadi" w:hAnsi="Abadi"/>
          <w:color w:val="222222"/>
          <w:sz w:val="19"/>
          <w:szCs w:val="19"/>
        </w:rPr>
        <w:t xml:space="preserve">. It takes two simple inputs </w:t>
      </w:r>
      <w:r w:rsidR="00D007D1" w:rsidRPr="00484233">
        <w:rPr>
          <w:rFonts w:ascii="Abadi" w:hAnsi="Abadi"/>
          <w:color w:val="222222"/>
          <w:sz w:val="19"/>
          <w:szCs w:val="19"/>
        </w:rPr>
        <w:t>-</w:t>
      </w:r>
      <w:r w:rsidRPr="00484233">
        <w:rPr>
          <w:rFonts w:ascii="Abadi" w:hAnsi="Abadi"/>
          <w:color w:val="222222"/>
          <w:sz w:val="19"/>
          <w:szCs w:val="19"/>
        </w:rPr>
        <w:t xml:space="preserve"> average monthly admissions and the hospital's level of care </w:t>
      </w:r>
      <w:r w:rsidR="00D007D1" w:rsidRPr="00484233">
        <w:rPr>
          <w:rFonts w:ascii="Abadi" w:hAnsi="Abadi"/>
          <w:color w:val="222222"/>
          <w:sz w:val="19"/>
          <w:szCs w:val="19"/>
        </w:rPr>
        <w:t>-</w:t>
      </w:r>
      <w:r w:rsidRPr="00484233">
        <w:rPr>
          <w:rFonts w:ascii="Abadi" w:hAnsi="Abadi"/>
          <w:color w:val="222222"/>
          <w:sz w:val="19"/>
          <w:szCs w:val="19"/>
        </w:rPr>
        <w:t xml:space="preserve"> and returns a device count with a 95% confidence range. It was built from patient-level records </w:t>
      </w:r>
      <w:r w:rsidR="00D007D1" w:rsidRPr="00484233">
        <w:rPr>
          <w:rFonts w:ascii="Abadi" w:hAnsi="Abadi"/>
          <w:color w:val="222222"/>
          <w:sz w:val="19"/>
          <w:szCs w:val="19"/>
        </w:rPr>
        <w:t xml:space="preserve">(2021-2026) </w:t>
      </w:r>
      <w:r w:rsidRPr="00484233">
        <w:rPr>
          <w:rFonts w:ascii="Abadi" w:hAnsi="Abadi"/>
          <w:color w:val="222222"/>
          <w:sz w:val="19"/>
          <w:szCs w:val="19"/>
        </w:rPr>
        <w:t>across 105 hospitals in five African countries (Ethiopia, Kenya, Malawi, Nigeria, Tanzania)</w:t>
      </w:r>
      <w:r w:rsidR="0073420D" w:rsidRPr="00484233">
        <w:rPr>
          <w:rFonts w:ascii="Abadi" w:hAnsi="Abadi"/>
          <w:color w:val="222222"/>
          <w:sz w:val="19"/>
          <w:szCs w:val="19"/>
        </w:rPr>
        <w:t xml:space="preserve"> implementing with NEST360 Alliance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4B9DD1CB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How it works</w:t>
      </w:r>
    </w:p>
    <w:p w14:paraId="00862B9F" w14:textId="77777777" w:rsidR="004B30C6" w:rsidRPr="00484233" w:rsidRDefault="00C14940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i/>
          <w:iCs/>
          <w:color w:val="222222"/>
          <w:sz w:val="19"/>
          <w:szCs w:val="19"/>
        </w:rPr>
        <w:t>Devices needed = (Admissions × Eligibility rate × Length of treatment / 30) × Surge factor × (1 + Maintenance buffer)</w:t>
      </w:r>
    </w:p>
    <w:p w14:paraId="36442231" w14:textId="77777777" w:rsidR="004B30C6" w:rsidRPr="00484233" w:rsidRDefault="00C14940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In plain terms: how many babies need CPAP each month, multiplied by how long each one typically stays on a device, gives the average number of devices in use at once. We then add a margin for busier-than-average periods (surge) and for devices temporarily out of service for repair (maintenance).</w:t>
      </w:r>
    </w:p>
    <w:p w14:paraId="6EE08AD0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Key methodological decisions</w:t>
      </w:r>
    </w:p>
    <w:p w14:paraId="373A5123" w14:textId="4E464A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Eligibility (who needs CPAP) is based on a hybrid of clinical criteria, observed rates at well-supplied hospitals, and expert opinion </w:t>
      </w:r>
      <w:r w:rsidR="00D007D1" w:rsidRPr="00484233">
        <w:rPr>
          <w:rFonts w:ascii="Abadi" w:hAnsi="Abadi"/>
          <w:color w:val="222222"/>
          <w:sz w:val="19"/>
          <w:szCs w:val="19"/>
        </w:rPr>
        <w:t>-</w:t>
      </w:r>
      <w:r w:rsidRPr="00484233">
        <w:rPr>
          <w:rFonts w:ascii="Abadi" w:hAnsi="Abadi"/>
          <w:color w:val="222222"/>
          <w:sz w:val="19"/>
          <w:szCs w:val="19"/>
        </w:rPr>
        <w:t xml:space="preserve"> and a baby who received CPAP always counts as having needed it, regardless of documentation.</w:t>
      </w:r>
    </w:p>
    <w:p w14:paraId="5347840E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Length of treatment uses a statistical method (competing-risks analysis) that separates babies who died on CPAP from babies who recovered, so that early deaths do not distort the treatment-duration figure.</w:t>
      </w:r>
    </w:p>
    <w:p w14:paraId="79A1ECD7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Hospitals are grouped into three levels aligned with WHO newborn care standards: Level II Basic (small district/mission hospitals), Level II Comprehensive (larger district/regional hospitals), and Level III (tertiary/referral hospitals).</w:t>
      </w:r>
    </w:p>
    <w:p w14:paraId="5407F98D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Surge (2.0×) and maintenance buffer (3.4%) are fixed values, from expert judgment and equipment audit data respectively, applied the same way across all hospital levels.</w:t>
      </w:r>
    </w:p>
    <w:p w14:paraId="50FD8364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What we found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900"/>
        <w:gridCol w:w="2160"/>
        <w:gridCol w:w="1050"/>
        <w:gridCol w:w="1450"/>
      </w:tblGrid>
      <w:tr w:rsidR="004B30C6" w:rsidRPr="00484233" w14:paraId="02D9A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861F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Level of care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113B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Eligibility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5C03A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Treatment length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C48F5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Surge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0416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E1AE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b/>
                <w:bCs/>
                <w:color w:val="FFFFFF"/>
                <w:sz w:val="18"/>
                <w:szCs w:val="18"/>
              </w:rPr>
              <w:t>Maintenance</w:t>
            </w:r>
          </w:p>
        </w:tc>
      </w:tr>
      <w:tr w:rsidR="004B30C6" w:rsidRPr="00484233" w14:paraId="1D7050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94E0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Level II Basic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5655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18.2%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B626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4.24 days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9D48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2.0×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A5F4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3.4%</w:t>
            </w:r>
          </w:p>
        </w:tc>
      </w:tr>
      <w:tr w:rsidR="004B30C6" w:rsidRPr="00484233" w14:paraId="3ABAF0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C25D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Level II Comprehensive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C6185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16.2%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60F58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4.25 days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8F9D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2.0×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D628F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3.4%</w:t>
            </w:r>
          </w:p>
        </w:tc>
      </w:tr>
      <w:tr w:rsidR="004B30C6" w:rsidRPr="00484233" w14:paraId="329A9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DA52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Level III</w:t>
            </w:r>
          </w:p>
        </w:tc>
        <w:tc>
          <w:tcPr>
            <w:tcW w:w="1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46B9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28.9%</w:t>
            </w:r>
          </w:p>
        </w:tc>
        <w:tc>
          <w:tcPr>
            <w:tcW w:w="2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9CCE6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4.28 days</w:t>
            </w:r>
          </w:p>
        </w:tc>
        <w:tc>
          <w:tcPr>
            <w:tcW w:w="10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550A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2.0×</w:t>
            </w:r>
          </w:p>
        </w:tc>
        <w:tc>
          <w:tcPr>
            <w:tcW w:w="145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5766" w14:textId="77777777" w:rsidR="004B30C6" w:rsidRPr="00484233" w:rsidRDefault="00C14940">
            <w:pPr>
              <w:rPr>
                <w:rFonts w:ascii="Abadi" w:hAnsi="Abadi"/>
              </w:rPr>
            </w:pPr>
            <w:r w:rsidRPr="00484233">
              <w:rPr>
                <w:rFonts w:ascii="Abadi" w:hAnsi="Abadi"/>
                <w:color w:val="004167"/>
                <w:sz w:val="18"/>
                <w:szCs w:val="18"/>
              </w:rPr>
              <w:t>3.4%</w:t>
            </w:r>
          </w:p>
        </w:tc>
      </w:tr>
    </w:tbl>
    <w:p w14:paraId="6F24548B" w14:textId="77777777" w:rsidR="004B30C6" w:rsidRPr="00484233" w:rsidRDefault="00C14940">
      <w:pPr>
        <w:spacing w:before="100" w:after="100"/>
        <w:rPr>
          <w:rFonts w:ascii="Abadi" w:hAnsi="Abadi"/>
        </w:rPr>
      </w:pPr>
      <w:r w:rsidRPr="00484233">
        <w:rPr>
          <w:rFonts w:ascii="Abadi" w:hAnsi="Abadi"/>
          <w:i/>
          <w:iCs/>
          <w:color w:val="5B6470"/>
          <w:sz w:val="17"/>
          <w:szCs w:val="17"/>
        </w:rPr>
        <w:t>All figures are empirically derived from data, with confidence intervals available in the underlying analysis.</w:t>
      </w:r>
    </w:p>
    <w:p w14:paraId="5FCC5720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Strengths</w:t>
      </w:r>
    </w:p>
    <w:p w14:paraId="3D373F91" w14:textId="02EE58D5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Parameters are derived from </w:t>
      </w:r>
      <w:r w:rsidR="00610189" w:rsidRPr="00484233">
        <w:rPr>
          <w:rFonts w:ascii="Abadi" w:hAnsi="Abadi"/>
          <w:color w:val="222222"/>
          <w:sz w:val="19"/>
          <w:szCs w:val="19"/>
        </w:rPr>
        <w:t>historical</w:t>
      </w:r>
      <w:r w:rsidRPr="00484233">
        <w:rPr>
          <w:rFonts w:ascii="Abadi" w:hAnsi="Abadi"/>
          <w:color w:val="222222"/>
          <w:sz w:val="19"/>
          <w:szCs w:val="19"/>
        </w:rPr>
        <w:t xml:space="preserve"> hospital data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0B8E6875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Accounts for hospitals where CPAP supply is constrained or coverage data is unreliable, rather than treating all hospitals as equally trustworthy sources.</w:t>
      </w:r>
    </w:p>
    <w:p w14:paraId="714A0E9E" w14:textId="427ACE9E" w:rsidR="004B30C6" w:rsidRPr="00484233" w:rsidRDefault="00610189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S</w:t>
      </w:r>
      <w:r w:rsidR="00C14940" w:rsidRPr="00484233">
        <w:rPr>
          <w:rFonts w:ascii="Abadi" w:hAnsi="Abadi"/>
          <w:color w:val="222222"/>
          <w:sz w:val="19"/>
          <w:szCs w:val="19"/>
        </w:rPr>
        <w:t xml:space="preserve">eparates death from recovery when estimating treatment duration, avoiding </w:t>
      </w:r>
      <w:r w:rsidR="00DB0D83" w:rsidRPr="00484233">
        <w:rPr>
          <w:rFonts w:ascii="Abadi" w:hAnsi="Abadi"/>
          <w:color w:val="222222"/>
          <w:sz w:val="19"/>
          <w:szCs w:val="19"/>
        </w:rPr>
        <w:t>b</w:t>
      </w:r>
      <w:r w:rsidR="00C14940" w:rsidRPr="00484233">
        <w:rPr>
          <w:rFonts w:ascii="Abadi" w:hAnsi="Abadi"/>
          <w:color w:val="222222"/>
          <w:sz w:val="19"/>
          <w:szCs w:val="19"/>
        </w:rPr>
        <w:t>ias</w:t>
      </w:r>
      <w:r w:rsidR="00DB0D83" w:rsidRPr="00484233">
        <w:rPr>
          <w:rFonts w:ascii="Abadi" w:hAnsi="Abadi"/>
          <w:color w:val="222222"/>
          <w:sz w:val="19"/>
          <w:szCs w:val="19"/>
        </w:rPr>
        <w:t xml:space="preserve"> from competing risks (death) before successful weaning</w:t>
      </w:r>
      <w:r w:rsidR="00547128" w:rsidRPr="00484233">
        <w:rPr>
          <w:rFonts w:ascii="Abadi" w:hAnsi="Abadi"/>
          <w:color w:val="222222"/>
          <w:sz w:val="19"/>
          <w:szCs w:val="19"/>
        </w:rPr>
        <w:t xml:space="preserve"> or undocumented wean time for babies that survive</w:t>
      </w:r>
      <w:r w:rsidR="00C14940" w:rsidRPr="00484233">
        <w:rPr>
          <w:rFonts w:ascii="Abadi" w:hAnsi="Abadi"/>
          <w:color w:val="222222"/>
          <w:sz w:val="19"/>
          <w:szCs w:val="19"/>
        </w:rPr>
        <w:t>.</w:t>
      </w:r>
    </w:p>
    <w:p w14:paraId="411FB37E" w14:textId="74B3DCED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Every estimate comes with a 95% confidence range, making the underlying uncertainty explicit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7835B86B" w14:textId="33B3DAA3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Aligned with WHO's newborn care level-of-care framework, so results are </w:t>
      </w:r>
      <w:r w:rsidR="0093721F" w:rsidRPr="00484233">
        <w:rPr>
          <w:rFonts w:ascii="Abadi" w:hAnsi="Abadi"/>
          <w:color w:val="222222"/>
          <w:sz w:val="19"/>
          <w:szCs w:val="19"/>
        </w:rPr>
        <w:t>relatable across health systems in various settings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3FF0E44C" w14:textId="77777777" w:rsidR="004B30C6" w:rsidRPr="00484233" w:rsidRDefault="00C14940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Caveats and limitations</w:t>
      </w:r>
    </w:p>
    <w:p w14:paraId="1773022A" w14:textId="3C0FFA93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Reflects current practice, not a clinical guideline for ideal treatment length</w:t>
      </w:r>
      <w:r w:rsidR="0093721F" w:rsidRPr="00484233">
        <w:rPr>
          <w:rFonts w:ascii="Abadi" w:hAnsi="Abadi"/>
          <w:color w:val="222222"/>
          <w:sz w:val="19"/>
          <w:szCs w:val="19"/>
        </w:rPr>
        <w:t>:</w:t>
      </w:r>
      <w:r w:rsidRPr="00484233">
        <w:rPr>
          <w:rFonts w:ascii="Abadi" w:hAnsi="Abadi"/>
          <w:color w:val="222222"/>
          <w:sz w:val="19"/>
          <w:szCs w:val="19"/>
        </w:rPr>
        <w:t xml:space="preserve"> the tool answers “how many devices are needed given how hospitals currently operate,” not “how many would be needed under idealized care.”</w:t>
      </w:r>
    </w:p>
    <w:p w14:paraId="3226D4D5" w14:textId="01A60359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Documentation quality can shift the numbers in either direction; we've corrected for one known issue (missing treatment end-dates</w:t>
      </w:r>
      <w:r w:rsidR="000B4F8F" w:rsidRPr="00484233">
        <w:rPr>
          <w:rFonts w:ascii="Abadi" w:hAnsi="Abadi"/>
          <w:color w:val="222222"/>
          <w:sz w:val="19"/>
          <w:szCs w:val="19"/>
        </w:rPr>
        <w:t>) but</w:t>
      </w:r>
      <w:r w:rsidRPr="00484233">
        <w:rPr>
          <w:rFonts w:ascii="Abadi" w:hAnsi="Abadi"/>
          <w:color w:val="222222"/>
          <w:sz w:val="19"/>
          <w:szCs w:val="19"/>
        </w:rPr>
        <w:t xml:space="preserve"> cannot rule out others (e.g. recording delays</w:t>
      </w:r>
      <w:r w:rsidR="000B4F8F" w:rsidRPr="00484233">
        <w:rPr>
          <w:rFonts w:ascii="Abadi" w:hAnsi="Abadi"/>
          <w:color w:val="222222"/>
          <w:sz w:val="19"/>
          <w:szCs w:val="19"/>
        </w:rPr>
        <w:t xml:space="preserve"> or wrong moderately inaccurate time inputs</w:t>
      </w:r>
      <w:r w:rsidRPr="00484233">
        <w:rPr>
          <w:rFonts w:ascii="Abadi" w:hAnsi="Abadi"/>
          <w:color w:val="222222"/>
          <w:sz w:val="19"/>
          <w:szCs w:val="19"/>
        </w:rPr>
        <w:t>).</w:t>
      </w:r>
    </w:p>
    <w:p w14:paraId="16BFC579" w14:textId="75A62E6F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lastRenderedPageBreak/>
        <w:t xml:space="preserve">Length of treatment is blended using each hospital level's typical mix of patients by birth weight, </w:t>
      </w:r>
      <w:r w:rsidR="000B4F8F" w:rsidRPr="00484233">
        <w:rPr>
          <w:rFonts w:ascii="Abadi" w:hAnsi="Abadi"/>
          <w:color w:val="222222"/>
          <w:sz w:val="19"/>
          <w:szCs w:val="19"/>
        </w:rPr>
        <w:t xml:space="preserve">and </w:t>
      </w:r>
      <w:r w:rsidRPr="00484233">
        <w:rPr>
          <w:rFonts w:ascii="Abadi" w:hAnsi="Abadi"/>
          <w:color w:val="222222"/>
          <w:sz w:val="19"/>
          <w:szCs w:val="19"/>
        </w:rPr>
        <w:t>not any single hospital's exact case mix, which may not fit hospitals with an unusual patient profile</w:t>
      </w:r>
      <w:r w:rsidR="000B4F8F" w:rsidRPr="00484233">
        <w:rPr>
          <w:rFonts w:ascii="Abadi" w:hAnsi="Abadi"/>
          <w:color w:val="222222"/>
          <w:sz w:val="19"/>
          <w:szCs w:val="19"/>
        </w:rPr>
        <w:t>/case mix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5607817B" w14:textId="77777777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The Level III estimate is based on fewer hospitals than the two Level II categories, so its confidence range is wider and less precise.</w:t>
      </w:r>
    </w:p>
    <w:p w14:paraId="78FF334E" w14:textId="77777777" w:rsidR="004B30C6" w:rsidRPr="00E03BC8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This tool has not yet been validated against independently measured device counts or usage in real hospitals; it should not be used as the sole basis for procurement decisions.</w:t>
      </w:r>
    </w:p>
    <w:p w14:paraId="09403405" w14:textId="77777777" w:rsidR="00E03BC8" w:rsidRPr="00484233" w:rsidRDefault="00E03BC8" w:rsidP="00E03BC8">
      <w:pPr>
        <w:pStyle w:val="ListParagraph"/>
        <w:spacing w:after="60"/>
        <w:ind w:left="720"/>
        <w:rPr>
          <w:rFonts w:ascii="Abadi" w:hAnsi="Abadi"/>
        </w:rPr>
      </w:pPr>
    </w:p>
    <w:p w14:paraId="71603F8E" w14:textId="4FEB712B" w:rsidR="004B30C6" w:rsidRPr="00484233" w:rsidRDefault="00DD6DFF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Output</w:t>
      </w:r>
      <w:r w:rsidR="00C14940" w:rsidRPr="00484233">
        <w:rPr>
          <w:rFonts w:ascii="Abadi" w:hAnsi="Abadi"/>
          <w:b/>
          <w:bCs/>
          <w:color w:val="004167"/>
          <w:sz w:val="24"/>
          <w:szCs w:val="24"/>
        </w:rPr>
        <w:t xml:space="preserve"> and access</w:t>
      </w:r>
    </w:p>
    <w:p w14:paraId="3EA0B0A1" w14:textId="77777777" w:rsidR="0062356C" w:rsidRPr="00484233" w:rsidRDefault="00C14940">
      <w:pPr>
        <w:spacing w:after="120" w:line="264" w:lineRule="auto"/>
        <w:rPr>
          <w:rFonts w:ascii="Abadi" w:hAnsi="Abadi"/>
          <w:color w:val="222222"/>
          <w:sz w:val="19"/>
          <w:szCs w:val="19"/>
        </w:rPr>
      </w:pPr>
      <w:r w:rsidRPr="00484233">
        <w:rPr>
          <w:rFonts w:ascii="Abadi" w:hAnsi="Abadi"/>
          <w:color w:val="222222"/>
          <w:sz w:val="19"/>
          <w:szCs w:val="19"/>
        </w:rPr>
        <w:t>The tool is available as a simple</w:t>
      </w:r>
      <w:r w:rsidR="00DD6DFF" w:rsidRPr="00484233">
        <w:rPr>
          <w:rFonts w:ascii="Abadi" w:hAnsi="Abadi"/>
          <w:color w:val="222222"/>
          <w:sz w:val="19"/>
          <w:szCs w:val="19"/>
        </w:rPr>
        <w:t xml:space="preserve"> </w:t>
      </w:r>
      <w:r w:rsidRPr="00484233">
        <w:rPr>
          <w:rFonts w:ascii="Abadi" w:hAnsi="Abadi"/>
          <w:color w:val="222222"/>
          <w:sz w:val="19"/>
          <w:szCs w:val="19"/>
        </w:rPr>
        <w:t xml:space="preserve">web calculator: a user enters monthly admissions and selects a hospital level, and receives a device estimate with its confidence range and a breakdown of the calculation. </w:t>
      </w:r>
    </w:p>
    <w:p w14:paraId="14730D1F" w14:textId="4C073141" w:rsidR="004B30C6" w:rsidRPr="00484233" w:rsidRDefault="0062356C">
      <w:pPr>
        <w:spacing w:after="120" w:line="264" w:lineRule="auto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 xml:space="preserve">Web link: </w:t>
      </w:r>
      <w:hyperlink r:id="rId8" w:history="1">
        <w:r w:rsidRPr="00484233">
          <w:rPr>
            <w:rStyle w:val="Hyperlink"/>
            <w:rFonts w:ascii="Abadi" w:hAnsi="Abadi"/>
            <w:sz w:val="19"/>
            <w:szCs w:val="19"/>
          </w:rPr>
          <w:t>https://cpapcalculator.zahara.workers.dev/</w:t>
        </w:r>
      </w:hyperlink>
      <w:r w:rsidRPr="00484233">
        <w:rPr>
          <w:rFonts w:ascii="Abadi" w:hAnsi="Abadi"/>
          <w:color w:val="222222"/>
          <w:sz w:val="19"/>
          <w:szCs w:val="19"/>
        </w:rPr>
        <w:t xml:space="preserve"> </w:t>
      </w:r>
    </w:p>
    <w:p w14:paraId="1CCB0C58" w14:textId="6D4439C6" w:rsidR="004B30C6" w:rsidRPr="00484233" w:rsidRDefault="0062356C">
      <w:pPr>
        <w:pStyle w:val="Heading1"/>
        <w:spacing w:before="200" w:after="100"/>
        <w:rPr>
          <w:rFonts w:ascii="Abadi" w:hAnsi="Abadi"/>
        </w:rPr>
      </w:pPr>
      <w:r w:rsidRPr="00484233">
        <w:rPr>
          <w:rFonts w:ascii="Abadi" w:hAnsi="Abadi"/>
          <w:b/>
          <w:bCs/>
          <w:color w:val="004167"/>
          <w:sz w:val="24"/>
          <w:szCs w:val="24"/>
        </w:rPr>
        <w:t>N</w:t>
      </w:r>
      <w:r w:rsidR="00C14940" w:rsidRPr="00484233">
        <w:rPr>
          <w:rFonts w:ascii="Abadi" w:hAnsi="Abadi"/>
          <w:b/>
          <w:bCs/>
          <w:color w:val="004167"/>
          <w:sz w:val="24"/>
          <w:szCs w:val="24"/>
        </w:rPr>
        <w:t>ext steps</w:t>
      </w:r>
    </w:p>
    <w:p w14:paraId="46933B24" w14:textId="219CB4AE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Planned: independent validation against measured device use in real hospitals</w:t>
      </w:r>
      <w:r w:rsidR="00A53748" w:rsidRPr="00484233">
        <w:rPr>
          <w:rFonts w:ascii="Abadi" w:hAnsi="Abadi"/>
          <w:color w:val="222222"/>
          <w:sz w:val="19"/>
          <w:szCs w:val="19"/>
        </w:rPr>
        <w:t xml:space="preserve"> (in and outside NEST360</w:t>
      </w:r>
      <w:r w:rsidR="00C63F24" w:rsidRPr="00484233">
        <w:rPr>
          <w:rFonts w:ascii="Abadi" w:hAnsi="Abadi"/>
          <w:color w:val="222222"/>
          <w:sz w:val="19"/>
          <w:szCs w:val="19"/>
        </w:rPr>
        <w:t xml:space="preserve"> network</w:t>
      </w:r>
      <w:r w:rsidR="00A53748" w:rsidRPr="00484233">
        <w:rPr>
          <w:rFonts w:ascii="Abadi" w:hAnsi="Abadi"/>
          <w:color w:val="222222"/>
          <w:sz w:val="19"/>
          <w:szCs w:val="19"/>
        </w:rPr>
        <w:t>)</w:t>
      </w:r>
      <w:r w:rsidRPr="00484233">
        <w:rPr>
          <w:rFonts w:ascii="Abadi" w:hAnsi="Abadi"/>
          <w:color w:val="222222"/>
          <w:sz w:val="19"/>
          <w:szCs w:val="19"/>
        </w:rPr>
        <w:t>.</w:t>
      </w:r>
    </w:p>
    <w:p w14:paraId="1950ADB2" w14:textId="0B0A3684" w:rsidR="004B30C6" w:rsidRPr="00484233" w:rsidRDefault="00C14940">
      <w:pPr>
        <w:pStyle w:val="ListParagraph"/>
        <w:numPr>
          <w:ilvl w:val="0"/>
          <w:numId w:val="1"/>
        </w:numPr>
        <w:spacing w:after="60"/>
        <w:rPr>
          <w:rFonts w:ascii="Abadi" w:hAnsi="Abadi"/>
        </w:rPr>
      </w:pPr>
      <w:r w:rsidRPr="00484233">
        <w:rPr>
          <w:rFonts w:ascii="Abadi" w:hAnsi="Abadi"/>
          <w:color w:val="222222"/>
          <w:sz w:val="19"/>
          <w:szCs w:val="19"/>
        </w:rPr>
        <w:t>Planned: extending the same approach</w:t>
      </w:r>
      <w:r w:rsidRPr="00484233">
        <w:rPr>
          <w:rFonts w:ascii="Abadi" w:hAnsi="Abadi"/>
          <w:color w:val="222222"/>
          <w:sz w:val="19"/>
          <w:szCs w:val="19"/>
        </w:rPr>
        <w:t xml:space="preserve"> to other neonatal equipment beyond CPAP.</w:t>
      </w:r>
    </w:p>
    <w:p w14:paraId="4724426E" w14:textId="45EC0FB2" w:rsidR="004B30C6" w:rsidRPr="00484233" w:rsidRDefault="004B30C6" w:rsidP="00C63F24">
      <w:pPr>
        <w:spacing w:after="60"/>
        <w:rPr>
          <w:rFonts w:ascii="Abadi" w:hAnsi="Abadi"/>
        </w:rPr>
      </w:pPr>
    </w:p>
    <w:p w14:paraId="7B422F3E" w14:textId="77777777" w:rsidR="0062356C" w:rsidRPr="00484233" w:rsidRDefault="0062356C">
      <w:pPr>
        <w:spacing w:before="120"/>
        <w:rPr>
          <w:rFonts w:ascii="Abadi" w:hAnsi="Abadi"/>
          <w:i/>
          <w:iCs/>
          <w:color w:val="5B6470"/>
          <w:sz w:val="18"/>
          <w:szCs w:val="18"/>
        </w:rPr>
      </w:pPr>
    </w:p>
    <w:p w14:paraId="17CAF181" w14:textId="77777777" w:rsidR="00484233" w:rsidRDefault="00C14940" w:rsidP="00484233">
      <w:pPr>
        <w:spacing w:before="120"/>
        <w:jc w:val="center"/>
        <w:rPr>
          <w:rFonts w:ascii="Abadi" w:hAnsi="Abadi"/>
          <w:i/>
          <w:iCs/>
          <w:color w:val="5B6470"/>
          <w:sz w:val="18"/>
          <w:szCs w:val="18"/>
        </w:rPr>
      </w:pPr>
      <w:r w:rsidRPr="00484233">
        <w:rPr>
          <w:rFonts w:ascii="Abadi" w:hAnsi="Abadi"/>
          <w:i/>
          <w:iCs/>
          <w:color w:val="5B6470"/>
          <w:sz w:val="18"/>
          <w:szCs w:val="18"/>
        </w:rPr>
        <w:t xml:space="preserve">Questions about this tool or its methodology are welcome at any time </w:t>
      </w:r>
      <w:r w:rsidR="00D007D1" w:rsidRPr="00484233">
        <w:rPr>
          <w:rFonts w:ascii="Abadi" w:hAnsi="Abadi"/>
          <w:i/>
          <w:iCs/>
          <w:color w:val="5B6470"/>
          <w:sz w:val="18"/>
          <w:szCs w:val="18"/>
        </w:rPr>
        <w:t>-</w:t>
      </w:r>
      <w:r w:rsidRPr="00484233">
        <w:rPr>
          <w:rFonts w:ascii="Abadi" w:hAnsi="Abadi"/>
          <w:i/>
          <w:iCs/>
          <w:color w:val="5B6470"/>
          <w:sz w:val="18"/>
          <w:szCs w:val="18"/>
        </w:rPr>
        <w:t xml:space="preserve"> please reach out to the project team</w:t>
      </w:r>
      <w:r w:rsidR="00C63F24" w:rsidRPr="00484233">
        <w:rPr>
          <w:rFonts w:ascii="Abadi" w:hAnsi="Abadi"/>
          <w:i/>
          <w:iCs/>
          <w:color w:val="5B6470"/>
          <w:sz w:val="18"/>
          <w:szCs w:val="18"/>
        </w:rPr>
        <w:t xml:space="preserve"> </w:t>
      </w:r>
    </w:p>
    <w:p w14:paraId="2F6C4895" w14:textId="0BCBB2C4" w:rsidR="004B30C6" w:rsidRPr="00484233" w:rsidRDefault="00C63F24" w:rsidP="00484233">
      <w:pPr>
        <w:spacing w:before="120"/>
        <w:jc w:val="center"/>
        <w:rPr>
          <w:rFonts w:ascii="Abadi" w:hAnsi="Abadi"/>
        </w:rPr>
      </w:pPr>
      <w:r w:rsidRPr="00484233">
        <w:rPr>
          <w:rFonts w:ascii="Abadi" w:hAnsi="Abadi"/>
          <w:i/>
          <w:iCs/>
          <w:color w:val="5B6470"/>
          <w:sz w:val="18"/>
          <w:szCs w:val="18"/>
        </w:rPr>
        <w:t>(</w:t>
      </w:r>
      <w:hyperlink r:id="rId9" w:history="1">
        <w:r w:rsidR="00484233" w:rsidRPr="00484233">
          <w:rPr>
            <w:rStyle w:val="Hyperlink"/>
            <w:rFonts w:ascii="Abadi" w:hAnsi="Abadi"/>
            <w:i/>
            <w:iCs/>
            <w:sz w:val="18"/>
            <w:szCs w:val="18"/>
          </w:rPr>
          <w:t>danicakumara@gmail.com</w:t>
        </w:r>
      </w:hyperlink>
      <w:r w:rsidR="00484233" w:rsidRPr="00484233">
        <w:rPr>
          <w:rFonts w:ascii="Abadi" w:hAnsi="Abadi"/>
          <w:i/>
          <w:iCs/>
          <w:color w:val="5B6470"/>
          <w:sz w:val="18"/>
          <w:szCs w:val="18"/>
        </w:rPr>
        <w:t xml:space="preserve">, </w:t>
      </w:r>
      <w:hyperlink r:id="rId10" w:history="1">
        <w:r w:rsidR="00484233" w:rsidRPr="00484233">
          <w:rPr>
            <w:rStyle w:val="Hyperlink"/>
            <w:rFonts w:ascii="Abadi" w:hAnsi="Abadi"/>
            <w:i/>
            <w:iCs/>
            <w:sz w:val="18"/>
            <w:szCs w:val="18"/>
          </w:rPr>
          <w:t>jwainaina@rice.edu</w:t>
        </w:r>
      </w:hyperlink>
      <w:r w:rsidR="00484233" w:rsidRPr="00484233">
        <w:rPr>
          <w:rFonts w:ascii="Abadi" w:hAnsi="Abadi"/>
          <w:i/>
          <w:iCs/>
          <w:color w:val="5B6470"/>
          <w:sz w:val="18"/>
          <w:szCs w:val="18"/>
        </w:rPr>
        <w:t>)</w:t>
      </w:r>
    </w:p>
    <w:sectPr w:rsidR="004B30C6" w:rsidRPr="00484233">
      <w:footerReference w:type="default" r:id="rId11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1F924" w14:textId="77777777" w:rsidR="00C14940" w:rsidRDefault="00C14940" w:rsidP="0074633C">
      <w:r>
        <w:separator/>
      </w:r>
    </w:p>
  </w:endnote>
  <w:endnote w:type="continuationSeparator" w:id="0">
    <w:p w14:paraId="74E3B2B3" w14:textId="77777777" w:rsidR="00C14940" w:rsidRDefault="00C14940" w:rsidP="00746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53427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91F76C" w14:textId="0713F5AA" w:rsidR="0074633C" w:rsidRDefault="007463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0F36EA" w14:textId="77777777" w:rsidR="0074633C" w:rsidRDefault="0074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456F7" w14:textId="77777777" w:rsidR="00C14940" w:rsidRDefault="00C14940" w:rsidP="0074633C">
      <w:r>
        <w:separator/>
      </w:r>
    </w:p>
  </w:footnote>
  <w:footnote w:type="continuationSeparator" w:id="0">
    <w:p w14:paraId="52BD6AF3" w14:textId="77777777" w:rsidR="00C14940" w:rsidRDefault="00C14940" w:rsidP="007463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F0F6E"/>
    <w:multiLevelType w:val="hybridMultilevel"/>
    <w:tmpl w:val="81589E52"/>
    <w:lvl w:ilvl="0" w:tplc="23F857B6">
      <w:start w:val="1"/>
      <w:numFmt w:val="bullet"/>
      <w:lvlText w:val="●"/>
      <w:lvlJc w:val="left"/>
      <w:pPr>
        <w:ind w:left="720" w:hanging="360"/>
      </w:pPr>
    </w:lvl>
    <w:lvl w:ilvl="1" w:tplc="793C803E">
      <w:start w:val="1"/>
      <w:numFmt w:val="bullet"/>
      <w:lvlText w:val="○"/>
      <w:lvlJc w:val="left"/>
      <w:pPr>
        <w:ind w:left="1440" w:hanging="360"/>
      </w:pPr>
    </w:lvl>
    <w:lvl w:ilvl="2" w:tplc="486849D6">
      <w:start w:val="1"/>
      <w:numFmt w:val="bullet"/>
      <w:lvlText w:val="■"/>
      <w:lvlJc w:val="left"/>
      <w:pPr>
        <w:ind w:left="2160" w:hanging="360"/>
      </w:pPr>
    </w:lvl>
    <w:lvl w:ilvl="3" w:tplc="FB94124A">
      <w:start w:val="1"/>
      <w:numFmt w:val="bullet"/>
      <w:lvlText w:val="●"/>
      <w:lvlJc w:val="left"/>
      <w:pPr>
        <w:ind w:left="2880" w:hanging="360"/>
      </w:pPr>
    </w:lvl>
    <w:lvl w:ilvl="4" w:tplc="21340E18">
      <w:start w:val="1"/>
      <w:numFmt w:val="bullet"/>
      <w:lvlText w:val="○"/>
      <w:lvlJc w:val="left"/>
      <w:pPr>
        <w:ind w:left="3600" w:hanging="360"/>
      </w:pPr>
    </w:lvl>
    <w:lvl w:ilvl="5" w:tplc="34FE7006">
      <w:start w:val="1"/>
      <w:numFmt w:val="bullet"/>
      <w:lvlText w:val="■"/>
      <w:lvlJc w:val="left"/>
      <w:pPr>
        <w:ind w:left="4320" w:hanging="360"/>
      </w:pPr>
    </w:lvl>
    <w:lvl w:ilvl="6" w:tplc="364ED92A">
      <w:start w:val="1"/>
      <w:numFmt w:val="bullet"/>
      <w:lvlText w:val="●"/>
      <w:lvlJc w:val="left"/>
      <w:pPr>
        <w:ind w:left="5040" w:hanging="360"/>
      </w:pPr>
    </w:lvl>
    <w:lvl w:ilvl="7" w:tplc="C776A4E8">
      <w:start w:val="1"/>
      <w:numFmt w:val="bullet"/>
      <w:lvlText w:val="●"/>
      <w:lvlJc w:val="left"/>
      <w:pPr>
        <w:ind w:left="5760" w:hanging="360"/>
      </w:pPr>
    </w:lvl>
    <w:lvl w:ilvl="8" w:tplc="C7CA1CAE">
      <w:start w:val="1"/>
      <w:numFmt w:val="bullet"/>
      <w:lvlText w:val="●"/>
      <w:lvlJc w:val="left"/>
      <w:pPr>
        <w:ind w:left="6480" w:hanging="360"/>
      </w:pPr>
    </w:lvl>
  </w:abstractNum>
  <w:num w:numId="1" w16cid:durableId="575359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0C6"/>
    <w:rsid w:val="000B4F8F"/>
    <w:rsid w:val="00484233"/>
    <w:rsid w:val="004B30C6"/>
    <w:rsid w:val="00547128"/>
    <w:rsid w:val="005C498D"/>
    <w:rsid w:val="00610189"/>
    <w:rsid w:val="0062356C"/>
    <w:rsid w:val="0073420D"/>
    <w:rsid w:val="0074633C"/>
    <w:rsid w:val="0093721F"/>
    <w:rsid w:val="00A53748"/>
    <w:rsid w:val="00B77219"/>
    <w:rsid w:val="00C14940"/>
    <w:rsid w:val="00C63F24"/>
    <w:rsid w:val="00D007D1"/>
    <w:rsid w:val="00D52F85"/>
    <w:rsid w:val="00DB0D83"/>
    <w:rsid w:val="00DD6DFF"/>
    <w:rsid w:val="00E0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C62FF"/>
  <w15:docId w15:val="{77049545-2E0F-434E-BF41-ED1921ED5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35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63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633C"/>
  </w:style>
  <w:style w:type="paragraph" w:styleId="Footer">
    <w:name w:val="footer"/>
    <w:basedOn w:val="Normal"/>
    <w:link w:val="FooterChar"/>
    <w:uiPriority w:val="99"/>
    <w:unhideWhenUsed/>
    <w:rsid w:val="007463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6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apcalculator.zahara.workers.dev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jwainaina@rice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anicakuma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Mwangi</cp:lastModifiedBy>
  <cp:revision>2</cp:revision>
  <dcterms:created xsi:type="dcterms:W3CDTF">2026-08-26T07:29:00Z</dcterms:created>
  <dcterms:modified xsi:type="dcterms:W3CDTF">2026-08-26T07:29:00Z</dcterms:modified>
</cp:coreProperties>
</file>