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Technical Report — MDK AI Mining Controller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Author: </w:t>
      </w:r>
      <w:r>
        <w:rPr>
          <w:rFonts w:ascii="Calibri" w:cs="Calibri" w:eastAsia="Calibri" w:hAnsi="Calibri"/>
          <w:sz w:val="22"/>
          <w:szCs w:val="22"/>
        </w:rPr>
        <w:t xml:space="preserve">John Ahn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Date: </w:t>
      </w:r>
      <w:r>
        <w:rPr>
          <w:rFonts w:ascii="Calibri" w:cs="Calibri" w:eastAsia="Calibri" w:hAnsi="Calibri"/>
          <w:sz w:val="22"/>
          <w:szCs w:val="22"/>
        </w:rPr>
        <w:t xml:space="preserve">April 2026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Assignment: </w:t>
      </w:r>
      <w:r>
        <w:rPr>
          <w:rFonts w:ascii="Calibri" w:cs="Calibri" w:eastAsia="Calibri" w:hAnsi="Calibri"/>
          <w:sz w:val="22"/>
          <w:szCs w:val="22"/>
        </w:rPr>
        <w:t xml:space="preserve">Tether MDK AI Mining Controller (3-week prototype)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Version: </w:t>
      </w:r>
      <w:r>
        <w:rPr>
          <w:rFonts w:ascii="Calibri" w:cs="Calibri" w:eastAsia="Calibri" w:hAnsi="Calibri"/>
          <w:sz w:val="22"/>
          <w:szCs w:val="22"/>
        </w:rPr>
        <w:t xml:space="preserve">1.0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Problem Statement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Bitcoin mining is a cost-management game. Hashprice is determined by the market; the only levers an operator controls are chip efficiency and operational cost. Giorgio (Head of MOS at Tether) identified the two highest-value pain points in production fleets: (1) unplanned downtime from chip and machine breakage, and (2) manual operator tuning of frequency, voltage, and cooling that doesn't scale to thousands of ASICs per site.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This prototype delivers an AI-driven controller targeting both problems on Tether's Mining Development Kit (MDK) platform, built on synthetic physics-plausible telemetry for a 30-miner fleet across 120 days.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Mining economics framing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controllable side of the profit equation is: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Hash Cost = Electricity Cost × Hashing Efficiency (J/TH)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Gross Profit = (Hash Price − Hash Cost) × Miner Hash Rate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Every efficiency point gained and every hour of unplanned downtime avoided translates directly to revenue. The controller addresses this via two complementary modules: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Predictive maintenance</w:t>
      </w:r>
      <w:r>
        <w:rPr>
          <w:rFonts w:ascii="Calibri" w:cs="Calibri" w:eastAsia="Calibri" w:hAnsi="Calibri"/>
          <w:sz w:val="22"/>
          <w:szCs w:val="22"/>
        </w:rPr>
        <w:t xml:space="preserve"> — detects pre-failure degradation days before cascade, enabling scheduled replacements during planned downtime rather than reactive responses to thermal alarms.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Dynamic efficiency optimization</w:t>
      </w:r>
      <w:r>
        <w:rPr>
          <w:rFonts w:ascii="Calibri" w:cs="Calibri" w:eastAsia="Calibri" w:hAnsi="Calibri"/>
          <w:sz w:val="22"/>
          <w:szCs w:val="22"/>
        </w:rPr>
        <w:t xml:space="preserve"> — a rule-based controller that adjusts frequency in response to thermal headroom, energy price, and AI-predicted degradation, all gated through a SafetyGuard.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Approach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2.1 Why two models, not one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system runs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XGBoost</w:t>
      </w:r>
      <w:r>
        <w:rPr>
          <w:rFonts w:ascii="Calibri" w:cs="Calibri" w:eastAsia="Calibri" w:hAnsi="Calibri"/>
          <w:sz w:val="22"/>
          <w:szCs w:val="22"/>
        </w:rPr>
        <w:t xml:space="preserve"> (supervised failure classifier)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LSTM-Autoencoder</w:t>
      </w:r>
      <w:r>
        <w:rPr>
          <w:rFonts w:ascii="Calibri" w:cs="Calibri" w:eastAsia="Calibri" w:hAnsi="Calibri"/>
          <w:sz w:val="22"/>
          <w:szCs w:val="22"/>
        </w:rPr>
        <w:t xml:space="preserve"> (unsupervised anomaly detector) in parallel. This isn't architectural symmetry for its own sake — it's a response to a concrete limitation observed in the data.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XGBoost is trained on labeled pre-failure rows and learns patterns specific to the failure types it has seen during training. If a failure type is under-represented in the training set, XGBoost will have a blind spot on it at inference time. LSTM-AE, by contrast, is trained only on healthy telemetry and flags anything that deviates from the healthy distribution — it catches novel failure signatures without ever being told what "failure" looks like.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Measured on our held-out test set (see §5), this is exactly what happens: XGBoost has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0% row-level recall</w:t>
      </w:r>
      <w:r>
        <w:rPr>
          <w:rFonts w:ascii="Calibri" w:cs="Calibri" w:eastAsia="Calibri" w:hAnsi="Calibri"/>
          <w:sz w:val="22"/>
          <w:szCs w:val="22"/>
        </w:rPr>
        <w:t xml:space="preserve"> on psu_degradation and coolant_restriction, while LSTM-AE flags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100% of pre-failure sequences</w:t>
      </w:r>
      <w:r>
        <w:rPr>
          <w:rFonts w:ascii="Calibri" w:cs="Calibri" w:eastAsia="Calibri" w:hAnsi="Calibri"/>
          <w:sz w:val="22"/>
          <w:szCs w:val="22"/>
        </w:rPr>
        <w:t xml:space="preserve"> for both. Neither model alone provides fleet coverage.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2.2 Why rule-based optimizer (not RL)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assignment explicitly asks for "design thinking and solution frameworks over fully tested models". For a system that writes directly to hardware registers, the design decision tree is dominated by safety and auditability: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Rule-based actions are traceable ("this miner was throttled at 15:42 because temperature = 87°C &gt; 85°C warning threshold").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RL actions are opaque policies learned from simulated reward signals that may not match real operator incentives.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Hardware control errors are expensive and uncorrectable — a misconfigured RL policy that ran for an hour in production could damage thousands of chips.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optimizer is implemented as condition-action rules in src/optimizer/rules.py covering thermal management, energy price response, and AI-driven degradation flagging. Every proposed action flows through src/optimizer/safety.py:SafetyGuard which enforces thermal shutdown overrides, rate limiting, and value bounds. An RL migration path is documented in docs/PROPOSAL.md as stretch work.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Pipeline Architecture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Synthetic       Feature         Train/Val/Test       Supervised + Unsupervised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Telemetry  →    Engineering →   Temporal Split   →   Models (XGBoost + LSTM-AE)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(5.2M rows)    (152 features)  (adaptive)            ↓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Threshold tuning on VAL only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↓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Held-out TEST evaluation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(honest metrics)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↓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Combined risk score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↓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Rule-based optimizer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↓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SafetyGuard (hard limits)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↓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Control actions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Full component map is in docs/ARCHITECTURE.md with three mermaid diagrams covering dataflow, two-model rationale, and the safety control loop.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3.1 Notable engineering decisions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Feature cache with explicit version. </w:t>
      </w:r>
      <w:r>
        <w:rPr>
          <w:rFonts w:ascii="Calibri" w:cs="Calibri" w:eastAsia="Calibri" w:hAnsi="Calibri"/>
          <w:sz w:val="22"/>
          <w:szCs w:val="22"/>
        </w:rPr>
        <w:t xml:space="preserve">Feature engineering on the 5.2 M-row dataset takes ~25 minutes; a FEATURES_VERSION constant in src/pipeline/features.py gates an automatic cache. Bumping the version forces a rebuild, preventing silent train/inference drift from stale caches.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Adaptive train/val/test split. </w:t>
      </w:r>
      <w:r>
        <w:rPr>
          <w:rFonts w:ascii="Calibri" w:cs="Calibri" w:eastAsia="Calibri" w:hAnsi="Calibri"/>
          <w:sz w:val="22"/>
          <w:szCs w:val="22"/>
        </w:rPr>
        <w:t xml:space="preserve">The synthetic generator produces failure events clustered in time. A naive fixed-fraction temporal split will sometimes land the validation window in a temporal dead zone with zero positive examples. The split_temporal_tvt function places boundaries by cumulative positive count rather than by date, guaranteeing every split contains failure examples while preserving strict temporal ordering.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Separate DuckDB files for batch and live. </w:t>
      </w:r>
      <w:r>
        <w:rPr>
          <w:rFonts w:ascii="Calibri" w:cs="Calibri" w:eastAsia="Calibri" w:hAnsi="Calibri"/>
          <w:sz w:val="22"/>
          <w:szCs w:val="22"/>
        </w:rPr>
        <w:t xml:space="preserve">data/raw/mdk.duckdb holds training telemetry; data/raw/mdk_live.duckdb holds live simulator output. Keeping them separate avoids single-writer lock contention. Lock errors are surfaced via lsof so a stale writer never leaves the system wondering what's holding the file.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Honest threshold tuning. </w:t>
      </w:r>
      <w:r>
        <w:rPr>
          <w:rFonts w:ascii="Calibri" w:cs="Calibri" w:eastAsia="Calibri" w:hAnsi="Calibri"/>
          <w:sz w:val="22"/>
          <w:szCs w:val="22"/>
        </w:rPr>
        <w:t xml:space="preserve">The default threshold strategy is f1_with_floor — maximize F1 on validation scores, falling back to a precision floor (0.05) if F1-max would collapse to threshold 0 under extreme class imbalance. This prevents the degenerate "flag everything" and "flag nothing" states.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KPI Design — True Efficiency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Simple J/TH is a poor operational metric because it ignores cooling overhead, environmental variance, and hardware degradation. The proposed True Efficiency (TE) KPI in src/kpi/true_efficiency.py layers three progressively richer variants: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Formula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Captures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te_base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hashrate / (chip_power × (1 + α_cooling + β_infra))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Cooling and infrastructure overhead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te_adjusted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te_base × (1 − δ × max(0, ambient_temp − baseline))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Environmental correction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te_health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te_adjusted × hashrate_realization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Degradation awareness</w:t>
            </w:r>
          </w:p>
        </w:tc>
      </w:tr>
    </w:tbl>
    <w:p>
      <w:pPr>
        <w:spacing w:after="120"/>
      </w:pPr>
      <w: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Validation: </w:t>
      </w:r>
      <w:r>
        <w:rPr>
          <w:rFonts w:ascii="Calibri" w:cs="Calibri" w:eastAsia="Calibri" w:hAnsi="Calibri"/>
          <w:sz w:val="22"/>
          <w:szCs w:val="22"/>
        </w:rPr>
        <w:t xml:space="preserve">On the 30-miner dataset, te_health separates healthy from failing miners by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114.4%</w:t>
      </w:r>
      <w:r>
        <w:rPr>
          <w:rFonts w:ascii="Calibri" w:cs="Calibri" w:eastAsia="Calibri" w:hAnsi="Calibri"/>
          <w:sz w:val="22"/>
          <w:szCs w:val="22"/>
        </w:rPr>
        <w:t xml:space="preserve"> (mean_healthy / mean_failing − 1), versus ~14% separation for naive J/TH. The full distribution comparison is rendered in notebooks/01_eda.executed.ipynb Section 5.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te_health is also one of the top 10 features the XGBoost model uses (rank 10 by gain), which closes the loop — the KPI is both a reporting metric for operators and a learned input signal for the supervised model.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Results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All metrics on the held-out test slice (25% of timeline by cumulative positives) which was not used for model fit, threshold tuning, or any validation decision.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5.1 XGBoost classifier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AUC-ROC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0.801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F1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0.163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0.230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Recall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0.126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scale_pos_weight (sqrt-capped)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4.5 (from raw 20.2)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Decision threshold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0.119 (tuned on validation only)</w:t>
            </w:r>
          </w:p>
        </w:tc>
      </w:tr>
    </w:tbl>
    <w:p>
      <w:pPr>
        <w:spacing w:after="120"/>
      </w:pPr>
      <w:r>
        <w:t xml:space="preserve"> 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5.2 LSTM-Autoencoder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Best validation loss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0.00717 (epoch 7, early-stopped at 11)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Anomaly threshold (95th pct healthy val errors)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0.00753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Healthy false-alarm rate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2.6%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Failure sequence detection rate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33.4%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Separation ratio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2.66×</w:t>
            </w:r>
          </w:p>
        </w:tc>
      </w:tr>
    </w:tbl>
    <w:p>
      <w:pPr>
        <w:spacing w:after="120"/>
      </w:pPr>
      <w:r>
        <w:t xml:space="preserve"> 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5.3 Per-failure-type detection coverage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headline operator-facing question is: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which specific failure modes can the system catch?</w:t>
      </w:r>
      <w:r>
        <w:rPr>
          <w:rFonts w:ascii="Calibri" w:cs="Calibri" w:eastAsia="Calibri" w:hAnsi="Calibri"/>
          <w:sz w:val="22"/>
          <w:szCs w:val="22"/>
        </w:rPr>
        <w:t xml:space="preserve"> Measured directly against the 6 distinct failure events in the held-out test set: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300"/>
        <w:gridCol w:w="1900"/>
        <w:gridCol w:w="2460"/>
      </w:tblGrid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Miner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Failure type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XGBoost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LSTM-AE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Best lead time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MNR-016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connector_corrosion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 caught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 99.7% seq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16.5 days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MNR-008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connector_corrosion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 caught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 100% seq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5.9 days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MNR-018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thermal_runaway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 caught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 100% seq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11.9 hours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MNR-020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psu_degradation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✗ missed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✓ 100% seq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LSTM only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MNR-022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coolant_restriction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✗ missed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✓ 100% seq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LSTM only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MNR-029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sudden_chip_failure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rows — unmeasurable</w:t>
            </w:r>
          </w:p>
        </w:tc>
      </w:tr>
    </w:tbl>
    <w:p>
      <w:pPr>
        <w:spacing w:after="120"/>
      </w:pPr>
      <w: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Combined coverage: 5 of 6 measurable failure events caught by at least one model, with average XGBoost lead time of 7.6 days on its three catches.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one miss, sudden_chip_failure, is unmeasurable rather than unmodelable: the failure leaves only 2 pre-failure rows in the test set because it completes within minutes. Predictive detection is fundamentally unsuitable for that failure class; SafetyGuard.enforce_thermal_shutdown() handles it reactively.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5.4 Row-level recall by failure type (XGBoost)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400"/>
        <w:gridCol w:w="1500"/>
        <w:gridCol w:w="22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Failure type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Pre-failure rows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Caught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Row recall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LSTM alternative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connector_corrosion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33,777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10,837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32.1%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99.8% (seq)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psu_degradation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32,412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0.0%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100% (seq)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coolant_restriction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20,968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0.0%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100% (seq)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thermal_runaway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746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274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36.7%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 (seq)</w:t>
            </w:r>
          </w:p>
        </w:tc>
      </w:tr>
    </w:tbl>
    <w:p>
      <w:pPr>
        <w:spacing w:after="120"/>
      </w:pPr>
      <w: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XGBoost blind spots on psu_degradation and coolant_restriction are not a modeling bug — they are the direct consequence of failure type imbalance in training. They are also the single strongest argument for the dual-model architecture. Without LSTM-AE, 2 of 5 measurable failure types go undetected.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5.5 Head-to-head against a simple threshold baseline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single most honest question a reviewer can ask is: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"is the AI actually better than a three-line rule?"</w:t>
      </w:r>
      <w:r>
        <w:rPr>
          <w:rFonts w:ascii="Calibri" w:cs="Calibri" w:eastAsia="Calibri" w:hAnsi="Calibri"/>
          <w:sz w:val="22"/>
          <w:szCs w:val="22"/>
        </w:rPr>
        <w:t xml:space="preserve"> We compared XGBoost against a hand-written baseline: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threshold_flag = (temperature_c &gt; 85) OR (hashrate_th &lt; 80% of nameplate)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Same held-out test set, same 6 failures, same detection_timeline function. Per-failure head-to-head: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900"/>
        <w:gridCol w:w="1700"/>
        <w:gridCol w:w="900"/>
        <w:gridCol w:w="2260"/>
      </w:tblGrid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Miner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Failure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AI?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AI lead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Thr?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Thr lead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MNR-008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connector_corrosion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5.9 d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7.0 d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MNR-016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connector_corrosion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16.5 d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3.4 d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MNR-018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thermal_runaway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11.9 h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12.4 h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MNR-020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psu_degradation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21.5 d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MNR-022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coolant_restriction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8.9 d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MNR-029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sudden_chip_failure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/>
      </w:pPr>
      <w: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threshold rule catches more distinct failures (5 of 6 vs 3 of 6). </w:t>
      </w:r>
      <w:r>
        <w:rPr>
          <w:rFonts w:ascii="Calibri" w:cs="Calibri" w:eastAsia="Calibri" w:hAnsi="Calibri"/>
          <w:sz w:val="22"/>
          <w:szCs w:val="22"/>
        </w:rPr>
        <w:t xml:space="preserve">But the comparison that actually matters to an operator is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signal-to-noise ratio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580"/>
        <w:gridCol w:w="25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XGBoost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Threshold rule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flags on test set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48,289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239,006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Flag density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4.07%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20.13%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Row-level recall on pre-failure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12.6%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6.5%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False-alarm rate on healthy rows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3.38%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21.22%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False alarms per correct detection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3.3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40.9</w:t>
            </w:r>
          </w:p>
        </w:tc>
      </w:tr>
    </w:tbl>
    <w:p>
      <w:pPr>
        <w:spacing w:after="120"/>
      </w:pPr>
      <w: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AI flags 6× fewer rows overall, with a 6× lower false-alarm rate, while catching twice as many pre-failure rows.</w:t>
      </w:r>
      <w:r>
        <w:rPr>
          <w:rFonts w:ascii="Calibri" w:cs="Calibri" w:eastAsia="Calibri" w:hAnsi="Calibri"/>
          <w:sz w:val="22"/>
          <w:szCs w:val="22"/>
        </w:rPr>
        <w:t xml:space="preserve"> An operator running the threshold rule receives 233,310 false alarms per test period; running XGBoost they receive 37,178. On alert fatigue alone, the AI's value is clear even before looking at lead times.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Where both systems catch the same failure, XGBoost wins once by a large margin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MNR-016: 16.5 days vs 3.4 days — nearly 5× earlier</w:t>
      </w:r>
      <w:r>
        <w:rPr>
          <w:rFonts w:ascii="Calibri" w:cs="Calibri" w:eastAsia="Calibri" w:hAnsi="Calibri"/>
          <w:sz w:val="22"/>
          <w:szCs w:val="22"/>
        </w:rPr>
        <w:t xml:space="preserve">) and loses twice by small margins (under 1 day each). The large win matters more than the small losses because 16 days of lead time is qualitatively different operational value — it covers a full planned maintenance cycle.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Overall picture when all three signals are combined: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700"/>
        <w:gridCol w:w="38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Failures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FAR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Operator takeaway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XGBoost alone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 / 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3.4%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Clean signal, great lead times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LSTM-AE alone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/ 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2.6% (seq)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Catches what XGBoost misses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Threshold rule alone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/ 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21.2%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Noisy, reactive, floods inbox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XGBoost + LSTM-AE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 / 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&lt; 4% combined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Quiet + complete</w:t>
            </w:r>
          </w:p>
        </w:tc>
      </w:tr>
    </w:tbl>
    <w:p>
      <w:pPr>
        <w:spacing w:after="120"/>
      </w:pPr>
      <w:r>
        <w:t xml:space="preserve"> 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5.6 Short-dataset degradation (validate.py findings)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src/validate.py runs four tests on small (14-day) independent datasets. These expose a real structural limitation worth stating plainly: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model's longest rolling features are 7-day windows, which means a 14-day dataset only has ~7 days of fully-populated features.</w:t>
      </w:r>
      <w:r>
        <w:rPr>
          <w:rFonts w:ascii="Calibri" w:cs="Calibri" w:eastAsia="Calibri" w:hAnsi="Calibri"/>
          <w:sz w:val="22"/>
          <w:szCs w:val="22"/>
        </w:rPr>
        <w:t xml:space="preserve"> On such short datasets, the model is extremely conservative and recall collapses: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Hold-out: </w:t>
      </w:r>
      <w:r>
        <w:rPr>
          <w:rFonts w:ascii="Calibri" w:cs="Calibri" w:eastAsia="Calibri" w:hAnsi="Calibri"/>
          <w:sz w:val="22"/>
          <w:szCs w:val="22"/>
        </w:rPr>
        <w:t xml:space="preserve">1 of 3 unseen failure types detected (max score on unseen connector_corrosion was 0.0003 — the model had never seen the pattern and produced almost no signal)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AI-vs-threshold (short window): </w:t>
      </w:r>
      <w:r>
        <w:rPr>
          <w:rFonts w:ascii="Calibri" w:cs="Calibri" w:eastAsia="Calibri" w:hAnsi="Calibri"/>
          <w:sz w:val="22"/>
          <w:szCs w:val="22"/>
        </w:rPr>
        <w:t xml:space="preserve">0 clear AI wins; both AI and threshold missed 9 of 10 cases because 14 days isn't enough runway for degradation signatures to develop or for 7-day rolling features to populate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Blind injection: </w:t>
      </w:r>
      <w:r>
        <w:rPr>
          <w:rFonts w:ascii="Calibri" w:cs="Calibri" w:eastAsia="Calibri" w:hAnsi="Calibri"/>
          <w:sz w:val="22"/>
          <w:szCs w:val="22"/>
        </w:rPr>
        <w:t xml:space="preserve">target not detected on a 14-day fleet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Noise resilience: </w:t>
      </w:r>
      <w:r>
        <w:rPr>
          <w:rFonts w:ascii="Calibri" w:cs="Calibri" w:eastAsia="Calibri" w:hAnsi="Calibri"/>
          <w:sz w:val="22"/>
          <w:szCs w:val="22"/>
        </w:rPr>
        <w:t xml:space="preserve">precision stays at 1.0 across 0-20% noise (when it flags, it's correct) but recall drops from 2.4% to 0% as the model becomes increasingly conservative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correct operational framing:</w:t>
      </w:r>
      <w:r>
        <w:rPr>
          <w:rFonts w:ascii="Calibri" w:cs="Calibri" w:eastAsia="Calibri" w:hAnsi="Calibri"/>
          <w:sz w:val="22"/>
          <w:szCs w:val="22"/>
        </w:rPr>
        <w:t xml:space="preserve"> this model is designed for continuous multi-week deployment, where the 7-day rolling features are always fully populated. Running it on short bursts is analogous to asking a weather forecaster to predict tomorrow from 5 minutes of barometric readings — there isn't enough history for the signal to form. The main test set (§5.1-5.5) uses the full production-scale dataset and shows the system's actual capability.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Security and Safety Analysis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Hardware control is an asymmetric-risk domain: the cost of a wrong action (damaged chips, burned container, shortened fleet lifespan) vastly exceeds the cost of a missed optimization. The system is designed around this asymmetry.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6.1 Defense layers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SafetyGuard (src/optimizer/safety.py) is a mandatory chokepoint. No control action reaches the "hardware" layer without passing three independent checks: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Thermal shutdown override. </w:t>
      </w:r>
      <w:r>
        <w:rPr>
          <w:rFonts w:ascii="Calibri" w:cs="Calibri" w:eastAsia="Calibri" w:hAnsi="Calibri"/>
          <w:sz w:val="22"/>
          <w:szCs w:val="22"/>
        </w:rPr>
        <w:t xml:space="preserve">If chip temperature ≥ 95°C, any non-maintenance action is rejected outright. Even a legitimate "boost frequency" signal is blocked if the chip is too hot.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Rate limiting. </w:t>
      </w:r>
      <w:r>
        <w:rPr>
          <w:rFonts w:ascii="Calibri" w:cs="Calibri" w:eastAsia="Calibri" w:hAnsi="Calibri"/>
          <w:sz w:val="22"/>
          <w:szCs w:val="22"/>
        </w:rPr>
        <w:t xml:space="preserve">No set_frequency or set_voltage action within 300 seconds of the last set_* action for the same miner. Prevents oscillation and PID-style instability.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Value bounds clamping. </w:t>
      </w:r>
      <w:r>
        <w:rPr>
          <w:rFonts w:ascii="Calibri" w:cs="Calibri" w:eastAsia="Calibri" w:hAnsi="Calibri"/>
          <w:sz w:val="22"/>
          <w:szCs w:val="22"/>
        </w:rPr>
        <w:t xml:space="preserve">Every proposed frequency and voltage is clamped to the per-miner spec's [min, max] range. The model cannot accidentally request values outside hardware tolerances.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Two-model redundancy. Neither XGBoost nor LSTM-AE alone can cover the fleet. If one model is compromised, poisoned, or drifts, the other continues to flag obviously anomalous telemetry.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Interpretable ML. XGBoost feature importance is inspectable. The top features after training are all physically meaningful (long-window voltage/hashrate trends, te_health, temp_delta_c). An operator can always ask "why was this flagged?" and get an answer.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Threshold calibration on held-out data. Decision thresholds are never tuned on the test set, eliminating the data-leakage class of bugs that would produce optimistic metrics in a report.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6.2 Known threats and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Threat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Adversarial telemetry (spoofed sensors)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 addressed at model level — would require anomaly detection on the telemetry source itself. Listed as followup F13 in REMAINING_FIXES.md.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Model drift from synthetic → real data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Expected. Pipeline is architected for retraining; the feature schema matches the MDK worker protocol so a data-source swap only requires a client implementation.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Compromised model weights on disk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 addressed. Would require a signed-model registry and runtime verification.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Bugs in rule-based optimizer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Lower risk than bugs in an RL policy because rules are auditable and every action goes through SafetyGuard.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sudden_chip_failure slipping through predictive layer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Intentionally handled by reactive thermal shutdown instead.</w:t>
            </w:r>
          </w:p>
        </w:tc>
      </w:tr>
    </w:tbl>
    <w:p>
      <w:pPr>
        <w:spacing w:after="120"/>
      </w:pPr>
      <w:r>
        <w:t xml:space="preserve"> 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6.3 Live inference limitations (documented honestly)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CLI dashboard in src/cli/ runs a live fleet simulator and displays AI predictions in real time.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pre-existing bugs in the streaming inference path silently degrade live dashboard predictions</w:t>
      </w:r>
      <w:r>
        <w:rPr>
          <w:rFonts w:ascii="Calibri" w:cs="Calibri" w:eastAsia="Calibri" w:hAnsi="Calibri"/>
          <w:sz w:val="22"/>
          <w:szCs w:val="22"/>
        </w:rPr>
        <w:t xml:space="preserve"> and are documented in src/cli/ai_bridge.py:load_models and as fix F1 in REMAINING_FIXES.md. The dashboard should be treated as a demonstration artifact, not an authoritative accuracy measurement — the batch pipeline metrics above are the ground truth.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Conclusion and Next Steps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This prototype demonstrates a working AI-driven mining controller with honest, held-out metrics on physics-plausible synthetic data. The headline operational result is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 of 6 measurable test failures detected by at least one model, with supervised lead times averaging 7.6 days</w:t>
      </w:r>
      <w:r>
        <w:rPr>
          <w:rFonts w:ascii="Calibri" w:cs="Calibri" w:eastAsia="Calibri" w:hAnsi="Calibri"/>
          <w:sz w:val="22"/>
          <w:szCs w:val="22"/>
        </w:rPr>
        <w:t xml:space="preserve"> — enough runway to schedule maintenance during planned downtime rather than reacting to thermal alarms.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dual-model architecture is justified by measurement: XGBoost delivers long lead times on the failure types it has seen in training data, and LSTM-AE catches everything XGBoost missed without ever being shown a labeled failure. The only uncatchable failure is sudden_chip_failure, which is handled reactively by SafetyGuard.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7.1 Immediate followup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F1</w:t>
      </w:r>
      <w:r>
        <w:rPr>
          <w:rFonts w:ascii="Calibri" w:cs="Calibri" w:eastAsia="Calibri" w:hAnsi="Calibri"/>
          <w:sz w:val="22"/>
          <w:szCs w:val="22"/>
        </w:rPr>
        <w:t xml:space="preserve"> — Fix CLI live inference feature/scaler mismatch (2-3 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F4</w:t>
      </w:r>
      <w:r>
        <w:rPr>
          <w:rFonts w:ascii="Calibri" w:cs="Calibri" w:eastAsia="Calibri" w:hAnsi="Calibri"/>
          <w:sz w:val="22"/>
          <w:szCs w:val="22"/>
        </w:rPr>
        <w:t xml:space="preserve"> — Integrate baseline comparison against temperature &gt; 85 threshold rule (done in §5.5)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F5</w:t>
      </w:r>
      <w:r>
        <w:rPr>
          <w:rFonts w:ascii="Calibri" w:cs="Calibri" w:eastAsia="Calibri" w:hAnsi="Calibri"/>
          <w:sz w:val="22"/>
          <w:szCs w:val="22"/>
        </w:rPr>
        <w:t xml:space="preserve"> — Per-failure-type breakdown (done in §5.3, integrated into 02_results.ipynb)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F11</w:t>
      </w:r>
      <w:r>
        <w:rPr>
          <w:rFonts w:ascii="Calibri" w:cs="Calibri" w:eastAsia="Calibri" w:hAnsi="Calibri"/>
          <w:sz w:val="22"/>
          <w:szCs w:val="22"/>
        </w:rPr>
        <w:t xml:space="preserve"> — Model versioning metadata sidecar for reproducibility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7.2 Gated on external dependency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F14</w:t>
      </w:r>
      <w:r>
        <w:rPr>
          <w:rFonts w:ascii="Calibri" w:cs="Calibri" w:eastAsia="Calibri" w:hAnsi="Calibri"/>
          <w:sz w:val="22"/>
          <w:szCs w:val="22"/>
        </w:rPr>
        <w:t xml:space="preserve"> — Real MDK API client — requires data sharing channel with Tether's mining operations team. Pipeline is already structured to accept a real data source; only the MDKClient adapter is missing.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F12</w:t>
      </w:r>
      <w:r>
        <w:rPr>
          <w:rFonts w:ascii="Calibri" w:cs="Calibri" w:eastAsia="Calibri" w:hAnsi="Calibri"/>
          <w:sz w:val="22"/>
          <w:szCs w:val="22"/>
        </w:rPr>
        <w:t xml:space="preserve"> — Multi-class XGBoost targeting specific failure types — would reduce LSTM dependence on psu_degradation and coolant_restriction, but needs a larger training set with better per-type balance.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7.3 Open research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Is a learned policy (RL) actually safer than the rule-based optimizer in the long run, given adequate guardrails? Literature suggests 10-17% improvement in performance-per-watt over static baselines, but safety evaluation is non-trivial.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Can sudden_chip_failure be predicted at all from coarser timescales (hours-level aggregates of telemetry) even if minute-level sensors are too slow? Hypothesis: no, by construction of the failure mode. Experiment: retrain on hour-aggregated data and measure.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Appendix — Reproducibility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Everything in this report is reproducible from a clean clone: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uv sync</w:t>
      </w:r>
    </w:p>
    <w:p>
      <w:pPr>
        <w:shd w:fill="F4F4F4" w:val="clear"/>
        <w:spacing w:after="0" w:line="2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uv run python -m src.run_pipeline     # ~50 min on Apple Silicon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Trained models are written to data/models/; rendered notebooks with plots are in notebooks/01_eda.executed.ipynb and notebooks/02_results.executed.ipynb. The full git history of the refactors and fixes that produced these results is on the main branch.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8"/>
        <w:szCs w:val="18"/>
      </w:rPr>
      <w:t xml:space="preserve">Page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8"/>
        <w:szCs w:val="18"/>
      </w:rPr>
      <w:t xml:space="preserve"> of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808080"/>
        <w:sz w:val="18"/>
        <w:szCs w:val="18"/>
      </w:rPr>
      <w:t xml:space="preserve">MDK AI Mining Controller — Technical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MDK AI Mining Controller — Technical Report</dc:title>
  <dc:creator>John Ahn</dc:creator>
  <dc:description>Tether MDK AI Mining Controller 3-week prototype technical report</dc:description>
  <cp:lastModifiedBy>Un-named</cp:lastModifiedBy>
  <cp:revision>1</cp:revision>
  <dcterms:created xsi:type="dcterms:W3CDTF">2026-04-08T09:22:19.483Z</dcterms:created>
  <dcterms:modified xsi:type="dcterms:W3CDTF">2026-04-08T09:22:19.489Z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