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Technical Documentation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PulseCare BP-200 Home Blood Pressure Monitor</w:t>
      </w:r>
    </w:p>
    <w:p>
      <w:pPr>
        <w:spacing w:after="360"/>
        <w:jc w:val="center"/>
      </w:pPr>
      <w:r>
        <w:rPr>
          <w:sz w:val="22"/>
          <w:szCs w:val="22"/>
        </w:rPr>
        <w:t xml:space="preserve">Document no. TD-PC200-001, Revision C, 14 September 2026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Note: MedNova GmbH and the PulseCare BP-200 are invented for a course project. This document is fictional and must not be used for any real product.</w:t>
      </w:r>
    </w:p>
    <w:p>
      <w:pPr>
        <w:pStyle w:val="Heading1"/>
        <w:spacing w:after="120" w:before="240"/>
      </w:pPr>
      <w:r>
        <w:t xml:space="preserve">1. Manufacturer information</w:t>
      </w:r>
    </w:p>
    <w:p>
      <w:pPr>
        <w:spacing w:after="120"/>
      </w:pPr>
      <w:r>
        <w:t xml:space="preserve">Manufacturer: MedNova GmbH, Rheinallee 48, 50668 Köln, Germany.</w:t>
      </w:r>
    </w:p>
    <w:p>
      <w:pPr>
        <w:spacing w:after="120"/>
      </w:pPr>
      <w:r>
        <w:t xml:space="preserve">Contact for regulatory matters: Regulatory Affairs Department, regulatory@mednova-example.de, +49 221 555 0100.</w:t>
      </w:r>
    </w:p>
    <w:p>
      <w:pPr>
        <w:spacing w:after="120"/>
      </w:pPr>
      <w:r>
        <w:t xml:space="preserve">Single registration number (SRN): DE-MF-000099999 (fictional).</w:t>
      </w:r>
    </w:p>
    <w:p>
      <w:pPr>
        <w:pStyle w:val="Heading1"/>
        <w:spacing w:after="120" w:before="240"/>
      </w:pPr>
      <w:r>
        <w:t xml:space="preserve">2. Device description</w:t>
      </w:r>
    </w:p>
    <w:p>
      <w:pPr>
        <w:spacing w:after="120"/>
      </w:pPr>
      <w:r>
        <w:t xml:space="preserve">The PulseCare BP-200 is a battery-powered, automatic, non-invasive blood pressure monitor for use on the upper arm. It measures systolic and diastolic blood pressure and pulse rate using the oscillometric method.</w:t>
      </w:r>
    </w:p>
    <w:p>
      <w:pPr>
        <w:spacing w:after="120"/>
      </w:pPr>
      <w:r>
        <w:t xml:space="preserve">Main components: main unit with LCD display, inflatable cuff (22–42 cm arm circumference), air tube, rechargeable lithium-ion battery (3.7 V, 1800 mAh), USB-C charging port and Bluetooth Low Energy module for transfer of readings to the PulseCare mobile app.</w:t>
      </w:r>
    </w:p>
    <w:p>
      <w:pPr>
        <w:spacing w:after="120"/>
      </w:pPr>
      <w:r>
        <w:t xml:space="preserve">The device stores up to 120 readings for each of two users. Software version: firmware 2.4.1.</w:t>
      </w:r>
    </w:p>
    <w:p>
      <w:pPr>
        <w:spacing w:after="120"/>
      </w:pPr>
      <w:r>
        <w:t xml:space="preserve">Classification: Class IIa medical device according to Annex VIII, Rule 10 of Regulation (EU) 2017/745 (MDR).</w:t>
      </w:r>
    </w:p>
    <w:p>
      <w:pPr>
        <w:pStyle w:val="Heading1"/>
        <w:spacing w:after="120" w:before="240"/>
      </w:pPr>
      <w:r>
        <w:t xml:space="preserve">3. Intended purpose</w:t>
      </w:r>
    </w:p>
    <w:p>
      <w:pPr>
        <w:spacing w:after="120"/>
      </w:pPr>
      <w:r>
        <w:t xml:space="preserve">The PulseCare BP-200 is intended to measure the systolic and diastolic blood pressure and pulse rate of adults (18 years and older) at home, using a cuff on the upper arm.</w:t>
      </w:r>
    </w:p>
    <w:p>
      <w:pPr>
        <w:spacing w:after="120"/>
      </w:pPr>
      <w:r>
        <w:t xml:space="preserve">Intended users: lay persons (patients) without medical training. Intended environment: home use.</w:t>
      </w:r>
    </w:p>
    <w:p>
      <w:pPr>
        <w:spacing w:after="120"/>
      </w:pPr>
      <w:r>
        <w:t xml:space="preserve">Contraindications: not intended for use on neonates, infants or pregnant women with pre-eclampsia, and not intended for continuous monitoring in hospitals.</w:t>
      </w:r>
    </w:p>
    <w:p>
      <w:pPr>
        <w:pStyle w:val="Heading1"/>
        <w:spacing w:after="120" w:before="240"/>
      </w:pPr>
      <w:r>
        <w:t xml:space="preserve">4. Risk management</w:t>
      </w:r>
    </w:p>
    <w:p>
      <w:pPr>
        <w:spacing w:after="120"/>
      </w:pPr>
      <w:r>
        <w:t xml:space="preserve">Risk management was performed according to ISO 14971:2019. The risk management plan is document RMP-PC200-001. The table below summarises the main identified risks and the control measures applied.</w:t>
      </w:r>
    </w:p>
    <w:p>
      <w:pPr>
        <w:spacing w:after="80" w:before="120"/>
      </w:pPr>
      <w:r>
        <w:rPr>
          <w:b/>
          <w:bCs/>
        </w:rPr>
        <w:t xml:space="preserve">Table 4.1 Risk analysis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2000"/>
        <w:gridCol w:w="37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 ID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Hazard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Possible harm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 measure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Incorrect blood pressure reading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treatment decision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Clinical validation per ISO 81060-2; error message if movement is detected during measurement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Excessive cuff pressure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Bruising, pain in the arm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pressure limit at 300 mmHg; automatic deflation after 180 seconds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Battery overheating during charging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Burns to the skin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R-04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 shock from charger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 shock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of certified 5 V medical-grade USB adapter; device cannot be used while charging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R-05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Loss of data transfer via Bluetooth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readings in app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Readings stored on device; user notified if transfer fails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All residual risks were evaluated as acceptable in relation to the benefits of home blood pressure monitoring. The overall residual risk is acceptable.</w:t>
      </w:r>
    </w:p>
    <w:p>
      <w:pPr>
        <w:pStyle w:val="Heading1"/>
        <w:spacing w:after="120" w:before="240"/>
      </w:pPr>
      <w:r>
        <w:t xml:space="preserve">5. Verification and test results</w:t>
      </w:r>
    </w:p>
    <w:p>
      <w:pPr>
        <w:spacing w:after="120"/>
      </w:pPr>
      <w:r>
        <w:t xml:space="preserve">Electrical safety and performance tests were carried out by NordCert Prüflabor GmbH (test report TR-2026-0417). The following standards were applied: IEC 60601-1:2005+A2:2020 (general safety), IEC 60601-1-2:2014 (EMC), IEC 60601-1-11:2015 (home healthcare environment), IEC 80601-2-30:2018 (automated non-invasive sphygmomanometers) and ISO 81060-2:2018 (clinical validation).</w:t>
      </w:r>
    </w:p>
    <w:p>
      <w:pPr>
        <w:spacing w:after="80" w:before="120"/>
      </w:pPr>
      <w:r>
        <w:rPr>
          <w:b/>
          <w:bCs/>
        </w:rPr>
        <w:t xml:space="preserve">Table 5.1 Summary of test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00"/>
        <w:gridCol w:w="17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Standard / clause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Measured value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leakage current (normal condition)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IEC 60601-1, 8.7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100 µA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µA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Cuff pressure accuracy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IEC 80601-2-30, 201.12.1.102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± 3 mmHg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± 2 mmHg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cuff pressure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IEC 80601-2-30, 201.12.4.103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300 mmHg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292 mmHg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 temperature of battery compartment during charging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IEC 60601-1, 11.1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60 °C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 °C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test (free fall, 1 m)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IEC 60601-1-11, 10.1.3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damage affecting safety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damage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Ingress protection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IEC 60529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IP22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IP22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Clinical validation according to ISO 81060-2 was performed with 85 subjects. Mean difference: 1.2 mmHg (systolic) and 0.8 mmHg (diastolic), within the required ± 5 mmHg.</w:t>
      </w:r>
    </w:p>
    <w:p>
      <w:pPr>
        <w:pStyle w:val="Heading1"/>
        <w:spacing w:after="120" w:before="240"/>
      </w:pPr>
      <w:r>
        <w:t xml:space="preserve">6. Labelling and instructions for use</w:t>
      </w:r>
    </w:p>
    <w:p>
      <w:pPr>
        <w:spacing w:after="120"/>
      </w:pPr>
      <w:r>
        <w:t xml:space="preserve">To be completed.</w:t>
      </w:r>
    </w:p>
    <w:p>
      <w:pPr>
        <w:pStyle w:val="Heading1"/>
        <w:spacing w:after="120" w:before="240"/>
      </w:pPr>
      <w:r>
        <w:t xml:space="preserve">7. Software</w:t>
      </w:r>
    </w:p>
    <w:p>
      <w:pPr>
        <w:spacing w:after="120"/>
      </w:pPr>
      <w:r>
        <w:t xml:space="preserve">The firmware was developed according to IEC 62304:2006+A1:2015. Software safety class: Class B. The software requirements, architecture and verification are documented in SW-PC200-002.</w:t>
      </w:r>
    </w:p>
    <w:p>
      <w:pPr>
        <w:pStyle w:val="Heading1"/>
        <w:spacing w:after="120" w:before="240"/>
      </w:pPr>
      <w:r>
        <w:t xml:space="preserve">8. Biocompatibility</w:t>
      </w:r>
    </w:p>
    <w:p>
      <w:pPr>
        <w:spacing w:after="120"/>
      </w:pPr>
      <w:r>
        <w:t xml:space="preserve">The cuff material in contact with skin (nylon outer layer, TPU bladder) was evaluated according to ISO 10993-1. Tests for cytotoxicity, sensitisation and irritation passed.</w:t>
      </w:r>
    </w:p>
    <w:p>
      <w:pPr>
        <w:pStyle w:val="Heading1"/>
        <w:spacing w:after="120" w:before="240"/>
      </w:pPr>
      <w:r>
        <w:t xml:space="preserve">9. Post-market surveillance</w:t>
      </w:r>
    </w:p>
    <w:p>
      <w:pPr>
        <w:spacing w:after="120"/>
      </w:pPr>
      <w:r>
        <w:t xml:space="preserve">MedNova GmbH maintains a post-market surveillance plan (PMS-PC200-001). Complaints are reviewed monthly. A periodic safety update report (PSUR) is prepared every two years.</w:t>
      </w:r>
    </w:p>
    <w:p>
      <w:pPr>
        <w:pStyle w:val="Heading1"/>
        <w:spacing w:after="120" w:before="240"/>
      </w:pPr>
      <w:r>
        <w:t xml:space="preserve">10. Document approval</w:t>
      </w:r>
    </w:p>
    <w:p>
      <w:pPr>
        <w:spacing w:after="80" w:before="120"/>
      </w:pPr>
      <w:r>
        <w:rPr>
          <w:b/>
          <w:bCs/>
        </w:rPr>
        <w:t xml:space="preserve">Table 10.1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700"/>
        <w:gridCol w:w="3026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March 2026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release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Dr. Lena Hoffmann, Head of Quality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June 2026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 risk analysis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Dr. Lena Hoffmann, Head of Quality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September 2026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test results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Dr. Lena Hoffmann, Head of Quality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2026-10-25T17:45:03.716Z</dcterms:created>
  <dcterms:modified xsi:type="dcterms:W3CDTF">2026-10-25T17:45:03.717Z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