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NordCert Prüflabor GmbH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Test Report TR-2026-0417</w:t>
      </w:r>
    </w:p>
    <w:p>
      <w:pPr>
        <w:spacing w:after="360"/>
        <w:jc w:val="center"/>
      </w:pPr>
      <w:r>
        <w:rPr>
          <w:sz w:val="22"/>
          <w:szCs w:val="22"/>
        </w:rPr>
        <w:t xml:space="preserve">Electrical safety testing according to IEC 60601-1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Note: NordCert Prüflabor GmbH, MedNova GmbH and the PulseCare BP-200 are invented for a course project. This report is fictional.</w:t>
      </w:r>
    </w:p>
    <w:p>
      <w:pPr>
        <w:pStyle w:val="Heading1"/>
        <w:spacing w:after="120" w:before="240"/>
      </w:pPr>
      <w:r>
        <w:t xml:space="preserve">1. General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laboratory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NordCert Prüflabor GmbH, Hafenstraße 9, 20457 Hamburg, Germany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MedNova GmbH, Rheinallee 48, 50668 Köln, Germany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blood pressure monitor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PulseCare BP-200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 number of sample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PC200-2026-00117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of receipt of sample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August 2026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August 2026 to 22 August 2026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 August 2026</w:t>
            </w:r>
          </w:p>
        </w:tc>
      </w:tr>
    </w:tbl>
    <w:p>
      <w:pPr>
        <w:pStyle w:val="Heading1"/>
        <w:spacing w:after="120" w:before="240"/>
      </w:pPr>
      <w:r>
        <w:t xml:space="preserve">2. Test standards</w:t>
      </w:r>
    </w:p>
    <w:p>
      <w:pPr>
        <w:spacing w:after="120"/>
      </w:pPr>
      <w:r>
        <w:t xml:space="preserve">The sample was tested according to IEC 60601-1:2005+A2:2020 (Medical electrical equipment – Part 1: General requirements for basic safety and essential performance) and IEC 60601-1-2:2014 (electromagnetic disturbances).</w:t>
      </w:r>
    </w:p>
    <w:p>
      <w:pPr>
        <w:pStyle w:val="Heading1"/>
        <w:spacing w:after="120" w:before="240"/>
      </w:pPr>
      <w:r>
        <w:t xml:space="preserve">3. Test plan</w:t>
      </w:r>
    </w:p>
    <w:p>
      <w:pPr>
        <w:spacing w:after="120"/>
      </w:pPr>
      <w:r>
        <w:t xml:space="preserve">The following tests were agreed with the client in the test plan TP-2026-0417: patient leakage current, dielectric strength, surface temperatures, mechanical strength, and EMC immunity.</w:t>
      </w:r>
    </w:p>
    <w:p>
      <w:pPr>
        <w:pStyle w:val="Heading1"/>
        <w:spacing w:after="120" w:before="240"/>
      </w:pPr>
      <w:r>
        <w:t xml:space="preserve">4. Test results</w:t>
      </w:r>
    </w:p>
    <w:p>
      <w:pPr>
        <w:spacing w:after="80" w:before="120"/>
      </w:pPr>
      <w:r>
        <w:rPr>
          <w:b/>
          <w:bCs/>
        </w:rPr>
        <w:t xml:space="preserve">Table 4.1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000"/>
        <w:gridCol w:w="2000"/>
        <w:gridCol w:w="14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leakage current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100 µA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µA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Dielectric strength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8.8.3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breakdown at 1500 V AC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breakdown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temperature, battery compartment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 °C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°C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Mechanical strength (push test 250 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15.3.2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damage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damage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EMC immunity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IEC 60601-1-2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 performance maintained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performed: EMC chamber not available</w:t>
            </w:r>
          </w:p>
        </w:tc>
        <w:tc>
          <w:tcPr>
            <w:tcW w:type="dxa" w:w="1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t xml:space="preserve">The sample does not fully comply with IEC 60601-1. The surface temperature of the battery compartment exceeded the limit during charging. The EMC immunity test is still open.</w:t>
      </w:r>
    </w:p>
    <w:p>
      <w:pPr>
        <w:pStyle w:val="Heading1"/>
        <w:spacing w:after="120" w:before="240"/>
      </w:pPr>
      <w:r>
        <w:t xml:space="preserve">6. Signatures</w:t>
      </w:r>
    </w:p>
    <w:p>
      <w:pPr>
        <w:spacing w:after="120"/>
      </w:pPr>
      <w:r>
        <w:t xml:space="preserve">Tested by: Markus Brandt, Test Engineer, 29 August 2026</w:t>
      </w:r>
    </w:p>
    <w:p>
      <w:pPr>
        <w:spacing w:after="120"/>
      </w:pPr>
      <w:r>
        <w:t xml:space="preserve">Reviewed and approved by: ______________________   Date: 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2026-10-25T17:45:03.788Z</dcterms:created>
  <dcterms:modified xsi:type="dcterms:W3CDTF">2026-10-25T17:45:03.788Z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