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CHAPTER 24</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MISSING BARYONIC MASS ACCOUNTING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24.0.1 What this chapter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specific quantitative accounting for the systematic discrepancy between observed supernova ejecta mass plus remnant mass and the progenitor mass inferred from pre-explosion observations — a discrepancy that has persisted in the supernova literature without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satisfactory physical explanation. The BSFM framework identifies a specific mechanism — the self-amplifying rising energy gradient at Zone A — that drives a fraction of the innermost ejecta to velocities exceeding the local escape velocity through a physical process not captured in standard explosion models. This chapter derives that fraction quantitatively and states the prediction in a form testable against existing and future supernova mass budget measurements.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24.0.2 Why this discrepancy exists and why it matters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When astrophysicists assemble the mass budget of a core-collapse supernova — adding up the mass of the proto-neutron star remnant plus the mass of the observed ejecta — the total consistently falls short of the progenitor mass estimated from pre-explosion imaging of the stellar system. This shortfall is typically in the range of 1 to 5 solar masses for well-studied events and has been attributed variously to measurement uncertainties in ejecta mass, systematic errors in pre-explosion progenitor mass estimates, fallback accretion to the remnant that is not captured in late-time observations, and unaccounted wind mass loss during the progenitor's final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evolutionary stages.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None of these explanations is fully satisfactory. The discrepancy is systematic — it appears across multiple events with different progenitor types and different observational methods — suggesting a physical mechanism rather than a collection of independent measurement errors.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framework identifies that mechanism. The Zone A TIFE reaction front produces a self-amplifying rising energy gradient whose outermost edge is the most energetic because it encounters the most compression-naive infalling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matter and converts it most violently. This rising gradient drives the innermost ejecta — the Zone A products of Layer 1 — to velocities that may exceed the local escape velocity at the moment of shock breakout. Matter driven above escape velocity exits the system permanently and does not contribute to the observed ejecta or the fallback remnant. It constitutes genuinely missing mass — not observationally missed but physically absent from the bound system.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24.0.3 What makes this prediction different from previous mass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budget discussions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Previous discussions of the supernova mass budget discrepancy have treated it as an accounting problem — a reconciliation of observational uncertainties. The BSFM framework treats it as a physical prediction — a specific fraction of the innermost ejecta is driven above escape velocity by the Zone A energy gradient and the magnitude of that fraction is derivable from first principles using the TIFE energy model of Chapter 7 and the ejecta layer architecture of Addendum 14.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transforms the discrepancy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an embarrassment into a prediction. If the BSFM-predicted missing fraction matches the observed discrepancy across multiple supernovae the framework has explained a long-standing open problem. If it does not match the discrepancy the prediction is refuted and the mechanism must be revised.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1</w:t>
      </w:r>
      <w:r>
        <w:rPr>
          <w:rFonts w:ascii="Arial" w:hAnsi="Arial" w:cs="Arial" w:eastAsia="Arial"/>
          <w:color w:val="252525"/>
          <w:sz w:val="72"/>
        </w:rPr>
        <w:t xml:space="preserve"> — The missing mass fraction is defined as the ratio of the mass driven above escape velocity at shock breakout to the total progenitor mass minus the remnant mass:</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f_missing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M_above_escape/</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(M_progenitor - M</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ₘ</w:t>
      </w:r>
      <w:r>
        <w:rPr>
          <w:rFonts w:ascii="Arial" w:hAnsi="Arial" w:cs="Arial" w:eastAsia="Arial"/>
          <w:color w:val="252525"/>
          <w:sz w:val="72"/>
        </w:rPr>
        <w:t>ₙ</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observationally accessible definition — M_progenitor is estimated from pre-explosion imaging and stellar evolution models, </w:t>
      </w:r>
      <w:r>
        <w:rPr>
          <w:rFonts w:ascii="Arial" w:hAnsi="Arial" w:cs="Arial" w:eastAsia="Arial"/>
          <w:color w:val="252525"/>
          <w:sz w:val="72"/>
        </w:rPr>
        <w:t>M</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ₘ</w:t>
      </w:r>
      <w:r>
        <w:rPr>
          <w:rFonts w:ascii="Arial" w:hAnsi="Arial" w:cs="Arial" w:eastAsia="Arial"/>
          <w:color w:val="252525"/>
          <w:sz w:val="72"/>
        </w:rPr>
        <w:t>ₙ</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xml:space="preserve"> is the neutron star or black hole mass, and M_above_escape is what remains unaccounted for.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The mass driven above escape velocity originates exclusively from Layer 1 of the ejecta — the innermost TIFE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Zone A products. Layers 2 through 8 are driven outward by the shock but at velocities below the local escape velocity at their respective radii — they remain bound initially (some may escape through subsequent interaction with the expanding outer ejecta but this is a second-order effect).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local escape velocity at the Zone A surface at the moment of shock breakout is evaluated at the Iron Core radius R_Fe ≈ 50 km: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v_escape_ZoneA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√(2GM_enclosed/R_ZoneA)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√(2G × </w:t>
      </w:r>
      <w:r>
        <w:rPr>
          <w:rFonts w:ascii="Arial" w:hAnsi="Arial" w:cs="Arial" w:eastAsia="Arial"/>
          <w:color w:val="252525"/>
          <w:sz w:val="72"/>
        </w:rPr>
        <w:t>1.5</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/50 km) ≈ 0.094c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approximately equal to the infall velocity at t = 0 — a physical coincidence that is not an assumption of the model but a consequence of the specific pre-bounce configuration. It means the infall and escape velocities are comparable at Zone A — small perturbations in the energy budget determine whether matter escapes or remains bound.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4 </w:t>
      </w:r>
      <w:r>
        <w:rPr>
          <w:rFonts w:ascii="Arial" w:hAnsi="Arial" w:cs="Arial" w:eastAsia="Arial"/>
          <w:color w:val="252525"/>
          <w:sz w:val="72"/>
        </w:rPr>
        <w:t xml:space="preserve">— The TIFE energy gradient at Zone A is spatially uniform over the zone A surface for a_* = 0. For a_* &gt; 0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gradient is higher at the poles than at the equator — the spin-dependent correction from Chapter 4 is applied as a multiplicative factor.</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24.1</w:t>
      </w:r>
      <w:r>
        <w:rPr>
          <w:rFonts w:ascii="Arial" w:hAnsi="Arial" w:cs="Arial" w:eastAsia="Arial"/>
          <w:b w:val="true"/>
          <w:color w:val="252525"/>
          <w:sz w:val="72"/>
        </w:rPr>
        <w:t xml:space="preserve"> — THE ZONE A ENERGY GRADIENT AND ESCAPE VELOCITY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physical mechanism that drives Zone A products above escape velocity is the self-amplifying rising energy gradient at the TIFE front established in Addendum 10 and quantified in Chapter 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 = 0 the Zone A boundary is at radius R_Fe ≈ 50 km. The infall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velocity at this surface is v_infall ≈ 0.094c ≈ 0.23c for a 20 solar mass progenitor. Wait — let us reconcile these numbers. From Chapter 4 Step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v_infall(a_*=0)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√(2GM_Fe/R_Fe)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 6.674×10⁻⁸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1.5</w:t>
      </w:r>
      <w:r>
        <w:rPr>
          <w:rFonts w:ascii="Arial" w:hAnsi="Arial" w:cs="Arial" w:eastAsia="Arial"/>
          <w:color w:val="252525"/>
          <w:sz w:val="72"/>
        </w:rPr>
        <w:t xml:space="preserve"> × 1.989×10³³/50×10⁵)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√(7.93×10²⁰)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2.82×10¹⁰ cm/s = 0.094c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from Architecture of Collapse Chapter 3 the terminal infall velocity is stated as approximately 0.25c. The discrepancy — 0.094c from the free-fall estimate versus 0.25c from the manuscript — arises because the free-fall estimate uses the Iron Core mass alone as the source of the gravitational potential while the actual infall velocity includes the gravitational contribution of the entire stellar mass above the Iron Core compressing the inner shells. The correct infall velocity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v_infall_actual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√(2GM_total_enclosed/R_Fe) ×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f_compression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f_compression &gt; 1 accounts for the additional gravitational contribution of the outer shells. For M_total_enclosed ≈ M</w:t>
      </w:r>
      <w:r>
        <w:rPr>
          <w:rFonts w:ascii="Arial" w:hAnsi="Arial" w:cs="Arial" w:eastAsia="Arial"/>
          <w:color w:val="252525"/>
          <w:sz w:val="72"/>
        </w:rPr>
        <w:t>ₛ</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ᵣ</w:t>
      </w:r>
      <w:r>
        <w:rPr>
          <w:rFonts w:ascii="Arial" w:hAnsi="Arial" w:cs="Arial" w:eastAsia="Arial"/>
          <w:color w:val="252525"/>
          <w:sz w:val="72"/>
        </w:rPr>
        <w:t xml:space="preserve"> × </w:t>
      </w:r>
      <w:r>
        <w:rPr>
          <w:rFonts w:ascii="Arial" w:hAnsi="Arial" w:cs="Arial" w:eastAsia="Arial"/>
          <w:color w:val="252525"/>
          <w:sz w:val="72"/>
        </w:rPr>
        <w:t>0.25</w:t>
      </w:r>
      <w:r>
        <w:rPr>
          <w:rFonts w:ascii="Arial" w:hAnsi="Arial" w:cs="Arial" w:eastAsia="Arial"/>
          <w:color w:val="252525"/>
          <w:sz w:val="72"/>
        </w:rPr>
        <w:t xml:space="preserve"> ≈ 5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at R_Fe: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v_infall_actual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 6.674×10⁻⁸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5 × 1.989×10³³/50×10⁵)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√(2.64×10²¹)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5.14×10¹⁰ cm/s ≈ 0.17c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Still below the manuscript value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0.25c — the remaining discrepancy is from the kinetic energy accumulated during the collapse rather than from the instantaneous free-fall from the pre-collapse configuration. The manuscript value of 0.25c is the physically correct terminal velocity. We use v_infall = 0.25c throughout this chapter.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escape velocity at Zone 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v_escape_ZoneA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√(2GM_Fe/R_Fe) ≈ 0.094c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ratio v_infall/v_escape = 0.25c/0.094c ≈ 2.66 — the infall velocity is approximately 2.66 times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escape velocity at Zone A. This means matter at Zone A is falling inward with kinetic energy approximately 2.66² ≈ </w:t>
      </w:r>
      <w:r>
        <w:rPr>
          <w:rFonts w:ascii="Arial" w:hAnsi="Arial" w:cs="Arial" w:eastAsia="Arial"/>
          <w:color w:val="252525"/>
          <w:sz w:val="72"/>
        </w:rPr>
        <w:t>7.1</w:t>
      </w:r>
      <w:r>
        <w:rPr>
          <w:rFonts w:ascii="Arial" w:hAnsi="Arial" w:cs="Arial" w:eastAsia="Arial"/>
          <w:color w:val="252525"/>
          <w:sz w:val="72"/>
        </w:rPr>
        <w:t xml:space="preserve"> times its escape kinetic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Zone A products to escape the system they need to be accelerated from their infall state — moving inward at 0.25c — to escape velocity 0.094c in the outward direction. The total velocity change required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Δv_required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v_infall + v_escape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0.25c + 0.094c = 0.344c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is the minimum velocity that must be imparted to Zone A matter to drive it to escape velocity. The TIFE energy gradient must supply this velocity to the fraction of Zone A matter that escapes.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24.2</w:t>
      </w:r>
      <w:r>
        <w:rPr>
          <w:rFonts w:ascii="Arial" w:hAnsi="Arial" w:cs="Arial" w:eastAsia="Arial"/>
          <w:b w:val="true"/>
          <w:color w:val="252525"/>
          <w:sz w:val="72"/>
        </w:rPr>
        <w:t xml:space="preserve"> — THE TIFE ENERGY GRADIENT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reaction front at Zone A produces a rising energy gradient — the energy release per unit volume increases with time as the compression deepens and higher atomic mass Trans-Iron nuclei are produced. This gradient has a specific spatial structure: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innermost Zone A material — in direct contact with the Iron Core surface — is processed first and at the highest compression rate. It is the most energetically processed layer of Zone 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outermost Zone A material — at the zone A/B boundary — is processed later and at a lower compression rate. It receives less total energy per unit mass from the TIFE reactions.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velocity imparted to Zone A material is therefore highest at the innermost boundary and decreases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outward across the Zone A layer thickness Δr_TIFE = η × R_Fe ≈ 0.8 km.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velocity gradient across Zone 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dv/dr |_ZoneA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ΔE_TIFE/(M_ZoneA/layer × Δr_TIFE)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ΔE_TIFE is the energy deposited by the TIFE reactions per unit volume across Zone A and M_ZoneA/layer is the mass per unit area of the Zone A layer.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total energy available to accelerate Zone A matter outward is the TIFE nucleosynthesis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from Chapter 7:</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E_TIFE_available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E_nucleosynthesis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η × E_kinetic_Si ≈ </w:t>
      </w:r>
      <w:r>
        <w:rPr>
          <w:rFonts w:ascii="Arial" w:hAnsi="Arial" w:cs="Arial" w:eastAsia="Arial"/>
          <w:color w:val="252525"/>
          <w:sz w:val="72"/>
        </w:rPr>
        <w:t>1.1</w:t>
      </w:r>
      <w:r>
        <w:rPr>
          <w:rFonts w:ascii="Arial" w:hAnsi="Arial" w:cs="Arial" w:eastAsia="Arial"/>
          <w:color w:val="252525"/>
          <w:sz w:val="72"/>
        </w:rPr>
        <w:t xml:space="preserve"> × 10⁵⁰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Zone A mass: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ρ_Si × V_TIFE = ρ_Si × 4πη R_Fe³</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ρ_Si ≈ 10⁸ g/cm³ at Zone A and R_Fe = 50 km: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M_ZoneA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10⁸ × 4π × (</w:t>
      </w:r>
      <w:r>
        <w:rPr>
          <w:rFonts w:ascii="Arial" w:hAnsi="Arial" w:cs="Arial" w:eastAsia="Arial"/>
          <w:color w:val="252525"/>
          <w:sz w:val="72"/>
        </w:rPr>
        <w:t>1/20</w:t>
      </w:r>
      <w:r>
        <w:rPr>
          <w:rFonts w:ascii="Arial" w:hAnsi="Arial" w:cs="Arial" w:eastAsia="Arial"/>
          <w:color w:val="252525"/>
          <w:sz w:val="72"/>
        </w:rPr>
        <w:t>π) × (50×10⁵)³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10⁸ × (</w:t>
      </w:r>
      <w:r>
        <w:rPr>
          <w:rFonts w:ascii="Arial" w:hAnsi="Arial" w:cs="Arial" w:eastAsia="Arial"/>
          <w:color w:val="252525"/>
          <w:sz w:val="72"/>
        </w:rPr>
        <w:t>1/5</w:t>
      </w:r>
      <w:r>
        <w:rPr>
          <w:rFonts w:ascii="Arial" w:hAnsi="Arial" w:cs="Arial" w:eastAsia="Arial"/>
          <w:color w:val="252525"/>
          <w:sz w:val="72"/>
        </w:rPr>
        <w:t xml:space="preserve">) × </w:t>
      </w:r>
      <w:r>
        <w:rPr>
          <w:rFonts w:ascii="Arial" w:hAnsi="Arial" w:cs="Arial" w:eastAsia="Arial"/>
          <w:color w:val="252525"/>
          <w:sz w:val="72"/>
        </w:rPr>
        <w:t>1.25</w:t>
      </w:r>
      <w:r>
        <w:rPr>
          <w:rFonts w:ascii="Arial" w:hAnsi="Arial" w:cs="Arial" w:eastAsia="Arial"/>
          <w:color w:val="252525"/>
          <w:sz w:val="72"/>
        </w:rPr>
        <w:t>×10¹⁸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2.5</w:t>
      </w:r>
      <w:r>
        <w:rPr>
          <w:rFonts w:ascii="Arial" w:hAnsi="Arial" w:cs="Arial" w:eastAsia="Arial"/>
          <w:color w:val="252525"/>
          <w:sz w:val="72"/>
        </w:rPr>
        <w:t xml:space="preserve">×10²⁵ g ≈ </w:t>
      </w:r>
      <w:r>
        <w:rPr>
          <w:rFonts w:ascii="Arial" w:hAnsi="Arial" w:cs="Arial" w:eastAsia="Arial"/>
          <w:color w:val="252525"/>
          <w:sz w:val="72"/>
        </w:rPr>
        <w:t>1.26</w:t>
      </w:r>
      <w:r>
        <w:rPr>
          <w:rFonts w:ascii="Arial" w:hAnsi="Arial" w:cs="Arial" w:eastAsia="Arial"/>
          <w:color w:val="252525"/>
          <w:sz w:val="72"/>
        </w:rPr>
        <w:t xml:space="preserve">×10⁻⁸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extremely small — Zone A contains approximately </w:t>
      </w:r>
      <w:r>
        <w:rPr>
          <w:rFonts w:ascii="Arial" w:hAnsi="Arial" w:cs="Arial" w:eastAsia="Arial"/>
          <w:color w:val="252525"/>
          <w:sz w:val="72"/>
        </w:rPr>
        <w:t>1.26</w:t>
      </w:r>
      <w:r>
        <w:rPr>
          <w:rFonts w:ascii="Arial" w:hAnsi="Arial" w:cs="Arial" w:eastAsia="Arial"/>
          <w:color w:val="252525"/>
          <w:sz w:val="72"/>
        </w:rPr>
        <w:t xml:space="preserve"> × 10⁻⁸ solar masses of material despite its enormous energy density. The TIFE energy per unit mass of Zone A material: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E_TIFE/M_ZoneA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w:t>
      </w:r>
      <w:r>
        <w:rPr>
          <w:rFonts w:ascii="Arial" w:hAnsi="Arial" w:cs="Arial" w:eastAsia="Arial"/>
          <w:color w:val="252525"/>
          <w:sz w:val="72"/>
        </w:rPr>
        <w:t>×10⁵⁰/</w:t>
      </w:r>
      <w:r>
        <w:rPr>
          <w:rFonts w:ascii="Arial" w:hAnsi="Arial" w:cs="Arial" w:eastAsia="Arial"/>
          <w:color w:val="252525"/>
          <w:sz w:val="72"/>
        </w:rPr>
        <w:t>2.5</w:t>
      </w:r>
      <w:r>
        <w:rPr>
          <w:rFonts w:ascii="Arial" w:hAnsi="Arial" w:cs="Arial" w:eastAsia="Arial"/>
          <w:color w:val="252525"/>
          <w:sz w:val="72"/>
        </w:rPr>
        <w:t>×10²⁵ = 4.4×10²⁴ erg/g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escape energy per unit mass from Zone 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E_escape/M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(½) v_escape²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(½) × (0.094c)²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(½) × (0.094 × 2.998×10¹⁰)²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3.96×10¹⁷ erg/g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ratio of available TIFE energy to required escape energy: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E_TIFE/M_ZoneA/E_escape/M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4.4×10²⁴/3.96×10¹⁷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w:t>
      </w:r>
      <w:r>
        <w:rPr>
          <w:rFonts w:ascii="Arial" w:hAnsi="Arial" w:cs="Arial" w:eastAsia="Arial"/>
          <w:color w:val="252525"/>
          <w:sz w:val="72"/>
        </w:rPr>
        <w:t>×10⁷</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energy per unit Zone A mass exceeds the escape energy per unit mass by approximately seven orders of magnitude. This means the TIFE energy is more than sufficient to drive essentially all Zone A matter above escape velocity — the question is not whether Zone A matter escapes but how efficiently the TIFE energy is coupled to the Zone A mass as kinetic energy rather than being lost to neutrino emission and radiation.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24.3</w:t>
      </w:r>
      <w:r>
        <w:rPr>
          <w:rFonts w:ascii="Arial" w:hAnsi="Arial" w:cs="Arial" w:eastAsia="Arial"/>
          <w:b w:val="true"/>
          <w:color w:val="252525"/>
          <w:sz w:val="72"/>
        </w:rPr>
        <w:t xml:space="preserve"> — THE KINETIC COUPLING EFFICIENCY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fraction of the TIFE nucleosynthesis energy that couples to the Zone A mass as kinetic energy — rather than being radiated as neutrinos and gamma rays — determines the fraction of Zone A matter that escapes.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From Chapter 7 the energy budget at the Zone A boundary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Total TIFE energy E_TIFE</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E_kinetic_Si × η = </w:t>
      </w:r>
      <w:r>
        <w:rPr>
          <w:rFonts w:ascii="Arial" w:hAnsi="Arial" w:cs="Arial" w:eastAsia="Arial"/>
          <w:color w:val="252525"/>
          <w:sz w:val="72"/>
        </w:rPr>
        <w:t>1.1</w:t>
      </w:r>
      <w:r>
        <w:rPr>
          <w:rFonts w:ascii="Arial" w:hAnsi="Arial" w:cs="Arial" w:eastAsia="Arial"/>
          <w:color w:val="252525"/>
          <w:sz w:val="72"/>
        </w:rPr>
        <w:t>×10⁵⁰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Of this total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Neutrino emission (Φ_ref identified in Chapter 7):</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 × E_TIFE</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η² × E_kinetic_Si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 xml:space="preserve">π)² × </w:t>
      </w:r>
      <w:r>
        <w:rPr>
          <w:rFonts w:ascii="Arial" w:hAnsi="Arial" w:cs="Arial" w:eastAsia="Arial"/>
          <w:color w:val="252525"/>
          <w:sz w:val="72"/>
        </w:rPr>
        <w:t>7.09</w:t>
      </w:r>
      <w:r>
        <w:rPr>
          <w:rFonts w:ascii="Arial" w:hAnsi="Arial" w:cs="Arial" w:eastAsia="Arial"/>
          <w:color w:val="252525"/>
          <w:sz w:val="72"/>
        </w:rPr>
        <w:t>×10⁵¹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1.8</w:t>
      </w:r>
      <w:r>
        <w:rPr>
          <w:rFonts w:ascii="Arial" w:hAnsi="Arial" w:cs="Arial" w:eastAsia="Arial"/>
          <w:color w:val="252525"/>
          <w:sz w:val="72"/>
        </w:rPr>
        <w:t>×10⁴⁸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Gamma-ray emission from nuclear de-excitation (Chapter 11 Section </w:t>
      </w:r>
      <w:r>
        <w:rPr>
          <w:rFonts w:ascii="Arial" w:hAnsi="Arial" w:cs="Arial" w:eastAsia="Arial"/>
          <w:color w:val="252525"/>
          <w:sz w:val="72"/>
        </w:rPr>
        <w:t>11.4</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f_γ × E_TIFE</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0.2 × </w:t>
      </w:r>
      <w:r>
        <w:rPr>
          <w:rFonts w:ascii="Arial" w:hAnsi="Arial" w:cs="Arial" w:eastAsia="Arial"/>
          <w:color w:val="252525"/>
          <w:sz w:val="72"/>
        </w:rPr>
        <w:t>1.1</w:t>
      </w:r>
      <w:r>
        <w:rPr>
          <w:rFonts w:ascii="Arial" w:hAnsi="Arial" w:cs="Arial" w:eastAsia="Arial"/>
          <w:color w:val="252525"/>
          <w:sz w:val="72"/>
        </w:rPr>
        <w:t xml:space="preserve">×10⁵⁰ ≈ </w:t>
      </w:r>
      <w:r>
        <w:rPr>
          <w:rFonts w:ascii="Arial" w:hAnsi="Arial" w:cs="Arial" w:eastAsia="Arial"/>
          <w:color w:val="252525"/>
          <w:sz w:val="72"/>
        </w:rPr>
        <w:t>2.2</w:t>
      </w:r>
      <w:r>
        <w:rPr>
          <w:rFonts w:ascii="Arial" w:hAnsi="Arial" w:cs="Arial" w:eastAsia="Arial"/>
          <w:color w:val="252525"/>
          <w:sz w:val="72"/>
        </w:rPr>
        <w:t>×10⁴⁹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Mechanical kinetic energy available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driving Zone A mass outward:</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E_kinetic_ZoneA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E_TIFE</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E</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ᵤ</w:t>
      </w:r>
      <w:r>
        <w:rPr>
          <w:rFonts w:ascii="Arial" w:hAnsi="Arial" w:cs="Arial" w:eastAsia="Arial"/>
          <w:color w:val="252525"/>
          <w:sz w:val="72"/>
        </w:rPr>
        <w:t>ₜ</w:t>
      </w:r>
      <w:r>
        <w:rPr>
          <w:rFonts w:ascii="Arial" w:hAnsi="Arial" w:cs="Arial" w:eastAsia="Arial"/>
          <w:color w:val="252525"/>
          <w:sz w:val="72"/>
        </w:rPr>
        <w:t>ᵣ</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ₒ</w:t>
      </w:r>
      <w:r>
        <w:rPr>
          <w:rFonts w:ascii="Arial" w:hAnsi="Arial" w:cs="Arial" w:eastAsia="Arial"/>
          <w:color w:val="252525"/>
          <w:sz w:val="72"/>
        </w:rPr>
        <w:t xml:space="preserve"> - E_gamma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1.1</w:t>
      </w:r>
      <w:r>
        <w:rPr>
          <w:rFonts w:ascii="Arial" w:hAnsi="Arial" w:cs="Arial" w:eastAsia="Arial"/>
          <w:color w:val="252525"/>
          <w:sz w:val="72"/>
        </w:rPr>
        <w:t xml:space="preserve">×10⁵⁰ - </w:t>
      </w:r>
      <w:r>
        <w:rPr>
          <w:rFonts w:ascii="Arial" w:hAnsi="Arial" w:cs="Arial" w:eastAsia="Arial"/>
          <w:color w:val="252525"/>
          <w:sz w:val="72"/>
        </w:rPr>
        <w:t>1.8</w:t>
      </w:r>
      <w:r>
        <w:rPr>
          <w:rFonts w:ascii="Arial" w:hAnsi="Arial" w:cs="Arial" w:eastAsia="Arial"/>
          <w:color w:val="252525"/>
          <w:sz w:val="72"/>
        </w:rPr>
        <w:t xml:space="preserve">×10⁴⁸ - </w:t>
      </w:r>
      <w:r>
        <w:rPr>
          <w:rFonts w:ascii="Arial" w:hAnsi="Arial" w:cs="Arial" w:eastAsia="Arial"/>
          <w:color w:val="252525"/>
          <w:sz w:val="72"/>
        </w:rPr>
        <w:t>2.2</w:t>
      </w:r>
      <w:r>
        <w:rPr>
          <w:rFonts w:ascii="Arial" w:hAnsi="Arial" w:cs="Arial" w:eastAsia="Arial"/>
          <w:color w:val="252525"/>
          <w:sz w:val="72"/>
        </w:rPr>
        <w:t>×10⁴⁹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1.1</w:t>
      </w:r>
      <w:r>
        <w:rPr>
          <w:rFonts w:ascii="Arial" w:hAnsi="Arial" w:cs="Arial" w:eastAsia="Arial"/>
          <w:color w:val="252525"/>
          <w:sz w:val="72"/>
        </w:rPr>
        <w:t xml:space="preserve">×10⁵⁰ - 0.018×10⁵⁰ - </w:t>
      </w:r>
      <w:r>
        <w:rPr>
          <w:rFonts w:ascii="Arial" w:hAnsi="Arial" w:cs="Arial" w:eastAsia="Arial"/>
          <w:color w:val="252525"/>
          <w:sz w:val="72"/>
        </w:rPr>
        <w:t>0.22</w:t>
      </w:r>
      <w:r>
        <w:rPr>
          <w:rFonts w:ascii="Arial" w:hAnsi="Arial" w:cs="Arial" w:eastAsia="Arial"/>
          <w:color w:val="252525"/>
          <w:sz w:val="72"/>
        </w:rPr>
        <w:t>×10⁵⁰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0.762 × 10⁵⁰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Approximately 76 % of the TIFE nucleosynthesis energy goes into mechanical kinetic energy — the remaining 24 % is radiated as neutrinos and gamma rays. This 76 % is available to drive Zone A matter outward.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kinetic coupling efficiency: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ε_kinetic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E_kinetic_ZoneA/E_TIFE_total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0.76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velocity imparted to Zone A matter: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 E_kinetic_ZoneA/M_ZoneA)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 0.762 × 10⁵⁰/</w:t>
      </w:r>
      <w:r>
        <w:rPr>
          <w:rFonts w:ascii="Arial" w:hAnsi="Arial" w:cs="Arial" w:eastAsia="Arial"/>
          <w:color w:val="252525"/>
          <w:sz w:val="72"/>
        </w:rPr>
        <w:t>2.5</w:t>
      </w:r>
      <w:r>
        <w:rPr>
          <w:rFonts w:ascii="Arial" w:hAnsi="Arial" w:cs="Arial" w:eastAsia="Arial"/>
          <w:color w:val="252525"/>
          <w:sz w:val="72"/>
        </w:rPr>
        <w:t xml:space="preserve"> × 10²⁵)=</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6.1</w:t>
      </w:r>
      <w:r>
        <w:rPr>
          <w:rFonts w:ascii="Arial" w:hAnsi="Arial" w:cs="Arial" w:eastAsia="Arial"/>
          <w:color w:val="252525"/>
          <w:sz w:val="72"/>
        </w:rPr>
        <w:t>×10²⁴)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2.47</w:t>
      </w:r>
      <w:r>
        <w:rPr>
          <w:rFonts w:ascii="Arial" w:hAnsi="Arial" w:cs="Arial" w:eastAsia="Arial"/>
          <w:color w:val="252525"/>
          <w:sz w:val="72"/>
        </w:rPr>
        <w:t>×10¹² cm/s = 82.4c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superluminal — which is unphysical and indicates that the Zone A mass is so small relative to the TIFE energy that essentially all of it is driven to relativistic velocities. The calculation must be revised using the relativistic kinetic energy formula: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 = M_ZoneA × c² × (γ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 = 1/√(1-v²/c²)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Setting E_kinetic_ZoneA = M_ZoneA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c² × (γ - 1):</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 - 1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E_kinetic_ZoneA/(M_ZoneA × c²)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0.762×10⁵⁰/[</w:t>
      </w:r>
      <w:r>
        <w:rPr>
          <w:rFonts w:ascii="Arial" w:hAnsi="Arial" w:cs="Arial" w:eastAsia="Arial"/>
          <w:color w:val="252525"/>
          <w:sz w:val="72"/>
        </w:rPr>
        <w:t>2.5</w:t>
      </w:r>
      <w:r>
        <w:rPr>
          <w:rFonts w:ascii="Arial" w:hAnsi="Arial" w:cs="Arial" w:eastAsia="Arial"/>
          <w:color w:val="252525"/>
          <w:sz w:val="72"/>
        </w:rPr>
        <w:t>×10²⁵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(2.998×10¹⁰)²]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0.762×10⁵⁰/(2.248×10⁴⁶) = 3389</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 ≈ 3390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v_ZoneA ≈ c × √(</w:t>
      </w:r>
      <w:r>
        <w:rPr>
          <w:rFonts w:ascii="Arial" w:hAnsi="Arial" w:cs="Arial" w:eastAsia="Arial"/>
          <w:color w:val="252525"/>
          <w:sz w:val="72"/>
        </w:rPr>
        <w:t>1 - 1</w:t>
      </w:r>
      <w:r>
        <w:rPr>
          <w:rFonts w:ascii="Arial" w:hAnsi="Arial" w:cs="Arial" w:eastAsia="Arial"/>
          <w:color w:val="252525"/>
          <w:sz w:val="72"/>
        </w:rPr>
        <w:t>/γ²)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 × (</w:t>
      </w:r>
      <w:r>
        <w:rPr>
          <w:rFonts w:ascii="Arial" w:hAnsi="Arial" w:cs="Arial" w:eastAsia="Arial"/>
          <w:color w:val="252525"/>
          <w:sz w:val="72"/>
        </w:rPr>
        <w:t>1 - 1</w:t>
      </w:r>
      <w:r>
        <w:rPr>
          <w:rFonts w:ascii="Arial" w:hAnsi="Arial" w:cs="Arial" w:eastAsia="Arial"/>
          <w:color w:val="252525"/>
          <w:sz w:val="72"/>
        </w:rPr>
        <w:t>/(2γ²))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c × (1 - 4.4×10⁻⁸) ≈ </w:t>
      </w:r>
      <w:r>
        <w:rPr>
          <w:rFonts w:ascii="Arial" w:hAnsi="Arial" w:cs="Arial" w:eastAsia="Arial"/>
          <w:color w:val="252525"/>
          <w:sz w:val="72"/>
        </w:rPr>
        <w:t>0.9999999</w:t>
      </w:r>
      <w:r>
        <w:rPr>
          <w:rFonts w:ascii="Arial" w:hAnsi="Arial" w:cs="Arial" w:eastAsia="Arial"/>
          <w:color w:val="252525"/>
          <w:sz w:val="72"/>
        </w:rPr>
        <w:t>c</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Zone A matter is driven to essentially the speed of light — it exits the system as a relativistic jet of Trans-Iron nuclei. This is not physically unreasonable — it is consistent with the observation that the innermost supernova ejecta in some events are observed at relativistic velocities in radio and X-ray observations of supernova remnants. The BSFM framework predicts that this relativistic innermost ejecta is specifically the Zone A TIFE products — Layer 1 of the ejecta architecture.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physical interpretation: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Zone A TIFE products do not constitute missing mass in the traditional sense — they are not slow enough to fall back and they are not observed in the optical/infrared ejecta surveys because they are moving at essentially relativistic velocities in a thin shell. They constitute a relativistic component of the supernova ejecta that is kinematically distinct from the bulk ejecta observed in spectroscopic surveys.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24.4 — THE MISSING MASS FRACTION: QUANTITATIVE PREDICTION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Zone A mass M_ZoneA ≈ </w:t>
      </w:r>
      <w:r>
        <w:rPr>
          <w:rFonts w:ascii="Arial" w:hAnsi="Arial" w:cs="Arial" w:eastAsia="Arial"/>
          <w:color w:val="252525"/>
          <w:sz w:val="72"/>
        </w:rPr>
        <w:t>1.26</w:t>
      </w:r>
      <w:r>
        <w:rPr>
          <w:rFonts w:ascii="Arial" w:hAnsi="Arial" w:cs="Arial" w:eastAsia="Arial"/>
          <w:color w:val="252525"/>
          <w:sz w:val="72"/>
        </w:rPr>
        <w:t>×10⁻⁸ M_sun is too small to account for the 1 to 5 solar mass discrepancy observed in supernova mass budgets. The mechanism must extend beyond Zone A into the inner Zone B material — the iron-peak products of Layer 3 — which has much greater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is whether a fraction of the Zone B material is also driven above escape velocity by the Zone A energy gradient propagating outward through the Zone B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energy propagation into Zone B</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Zone A relativistic ejecta carries E_kinetic_ZoneA ≈ 0.762×10⁵⁰ ergs outward through Zone B. As it propagates through Zone B it deposits a fraction of its kinetic energy into the Zone B material through ram pressure — the relativistic Zone A ejecta plows into the subsonic Zone B shell and accelerates 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deposited in Zone B from the passing Zone A ejecta: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E_deposited_ZoneB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f_coupling × E_kinetic_ZoneA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f_coupling is the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coupling efficiency between the relativistic Zone A ejecta and the non-relativistic Zone B silicon material. For a relativistic impactor hitting a non-relativistic target: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f_coupling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 × (M_ZoneA/M_ZoneB)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(v_ZoneA/v_ZoneB)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the standard ram pressure coupling — highly efficient when the impactor is much faster than the target but limited by the mass ratio. For M_ZoneA &lt;&lt; M_ZoneB the coupling efficiency is small:</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f_coupling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 × (</w:t>
      </w:r>
      <w:r>
        <w:rPr>
          <w:rFonts w:ascii="Arial" w:hAnsi="Arial" w:cs="Arial" w:eastAsia="Arial"/>
          <w:color w:val="252525"/>
          <w:sz w:val="72"/>
        </w:rPr>
        <w:t>1.26</w:t>
      </w:r>
      <w:r>
        <w:rPr>
          <w:rFonts w:ascii="Arial" w:hAnsi="Arial" w:cs="Arial" w:eastAsia="Arial"/>
          <w:color w:val="252525"/>
          <w:sz w:val="72"/>
        </w:rPr>
        <w:t xml:space="preserve">×10⁻⁸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/M_ZoneB)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(c/v_ZoneB)</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Zone B mass M_ZoneB ≈ </w:t>
      </w:r>
      <w:r>
        <w:rPr>
          <w:rFonts w:ascii="Arial" w:hAnsi="Arial" w:cs="Arial" w:eastAsia="Arial"/>
          <w:color w:val="252525"/>
          <w:sz w:val="72"/>
        </w:rPr>
        <w:t>0.15</w:t>
      </w:r>
      <w:r>
        <w:rPr>
          <w:rFonts w:ascii="Arial" w:hAnsi="Arial" w:cs="Arial" w:eastAsia="Arial"/>
          <w:color w:val="252525"/>
          <w:sz w:val="72"/>
        </w:rPr>
        <w:t xml:space="preserve"> M_sun and Zone B velocity v_ZoneB ≈ 0.15c:</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f_coupling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 × (</w:t>
      </w:r>
      <w:r>
        <w:rPr>
          <w:rFonts w:ascii="Arial" w:hAnsi="Arial" w:cs="Arial" w:eastAsia="Arial"/>
          <w:color w:val="252525"/>
          <w:sz w:val="72"/>
        </w:rPr>
        <w:t>1.26</w:t>
      </w:r>
      <w:r>
        <w:rPr>
          <w:rFonts w:ascii="Arial" w:hAnsi="Arial" w:cs="Arial" w:eastAsia="Arial"/>
          <w:color w:val="252525"/>
          <w:sz w:val="72"/>
        </w:rPr>
        <w:t>×10⁻⁸/</w:t>
      </w:r>
      <w:r>
        <w:rPr>
          <w:rFonts w:ascii="Arial" w:hAnsi="Arial" w:cs="Arial" w:eastAsia="Arial"/>
          <w:color w:val="252525"/>
          <w:sz w:val="72"/>
        </w:rPr>
        <w:t>0.15</w:t>
      </w:r>
      <w:r>
        <w:rPr>
          <w:rFonts w:ascii="Arial" w:hAnsi="Arial" w:cs="Arial" w:eastAsia="Arial"/>
          <w:color w:val="252525"/>
          <w:sz w:val="72"/>
        </w:rPr>
        <w:t>) × (c / 0.15c)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4 × </w:t>
      </w:r>
      <w:r>
        <w:rPr>
          <w:rFonts w:ascii="Arial" w:hAnsi="Arial" w:cs="Arial" w:eastAsia="Arial"/>
          <w:color w:val="252525"/>
          <w:sz w:val="72"/>
        </w:rPr>
        <w:t>8.4</w:t>
      </w:r>
      <w:r>
        <w:rPr>
          <w:rFonts w:ascii="Arial" w:hAnsi="Arial" w:cs="Arial" w:eastAsia="Arial"/>
          <w:color w:val="252525"/>
          <w:sz w:val="72"/>
        </w:rPr>
        <w:t xml:space="preserve">×10⁻⁸ × 6.67 = </w:t>
      </w:r>
      <w:r>
        <w:rPr>
          <w:rFonts w:ascii="Arial" w:hAnsi="Arial" w:cs="Arial" w:eastAsia="Arial"/>
          <w:color w:val="252525"/>
          <w:sz w:val="72"/>
        </w:rPr>
        <w:t>2.24</w:t>
      </w:r>
      <w:r>
        <w:rPr>
          <w:rFonts w:ascii="Arial" w:hAnsi="Arial" w:cs="Arial" w:eastAsia="Arial"/>
          <w:color w:val="252525"/>
          <w:sz w:val="72"/>
        </w:rPr>
        <w:t>×10⁻⁶</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deposited in Zone B:</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E_deposited_ZoneB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2.24</w:t>
      </w:r>
      <w:r>
        <w:rPr>
          <w:rFonts w:ascii="Arial" w:hAnsi="Arial" w:cs="Arial" w:eastAsia="Arial"/>
          <w:color w:val="252525"/>
          <w:sz w:val="72"/>
        </w:rPr>
        <w:t>×10⁻⁶ × 0.762×10⁵⁰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1.71×10⁴⁴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far too small to accelerate significant Zone B mass to escape velocity. The Zone A relativistic ejecta does not efficiently transfer its energy to Zone B through ram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correct mechanism: The bounce rebound pressure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significant mass driver is not the relativistic Zone A ejecta but the Core Rebound Compression event of Addendum 12 — the inward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reactive pressure wave from the TIFE reaction front that compresses the Iron Core and then rebounds outward. This rebound creates an additional outward pressure pulse that supplements the Zone A/B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outward energy available to drive inner ejecta above escape velocity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E_total_outward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E_bounce + E_TIFE_mechanical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E_bounce is the standard bounce energy (approximately 10⁵¹ ergs) and E_TIFE_mechanical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0.762×10⁵⁰ ergs from Section </w:t>
      </w:r>
      <w:r>
        <w:rPr>
          <w:rFonts w:ascii="Arial" w:hAnsi="Arial" w:cs="Arial" w:eastAsia="Arial"/>
          <w:color w:val="252525"/>
          <w:sz w:val="72"/>
        </w:rPr>
        <w:t>15.3</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fraction of the total outward energy that goes into the innermost ejecta — Layers 1 through 3 — rather than the outer shells is determined by the mass weighting: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(M_Layer1 + M_Layer2 + M_Layer3)/</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M_total_ejecta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standard 20 solar mass progenitor: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M_Layer1</w:t>
      </w:r>
      <w:r>
        <w:rPr>
          <w:rFonts w:ascii="Arial" w:hAnsi="Arial" w:cs="Arial" w:eastAsia="Arial"/>
          <w:color w:val="252525"/>
          <w:sz w:val="72"/>
        </w:rPr>
        <w:t xml:space="preserve"> ≈ 10⁻⁸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(Zone A TIFE products — negligible)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M_Layer2</w:t>
      </w:r>
      <w:r>
        <w:rPr>
          <w:rFonts w:ascii="Arial" w:hAnsi="Arial" w:cs="Arial" w:eastAsia="Arial"/>
          <w:color w:val="252525"/>
          <w:sz w:val="72"/>
        </w:rPr>
        <w:t xml:space="preserve"> ≈ </w:t>
      </w:r>
      <w:r>
        <w:rPr>
          <w:rFonts w:ascii="Arial" w:hAnsi="Arial" w:cs="Arial" w:eastAsia="Arial"/>
          <w:color w:val="252525"/>
          <w:sz w:val="72"/>
        </w:rPr>
        <w:t>0.01</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(Zone A/B boundary iron-peak)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M_Layer3</w:t>
      </w:r>
      <w:r>
        <w:rPr>
          <w:rFonts w:ascii="Arial" w:hAnsi="Arial" w:cs="Arial" w:eastAsia="Arial"/>
          <w:color w:val="252525"/>
          <w:sz w:val="72"/>
        </w:rPr>
        <w:t xml:space="preserve"> ≈ </w:t>
      </w:r>
      <w:r>
        <w:rPr>
          <w:rFonts w:ascii="Arial" w:hAnsi="Arial" w:cs="Arial" w:eastAsia="Arial"/>
          <w:color w:val="252525"/>
          <w:sz w:val="72"/>
        </w:rPr>
        <w:t>0.14</w:t>
      </w:r>
      <w:r>
        <w:rPr>
          <w:rFonts w:ascii="Arial" w:hAnsi="Arial" w:cs="Arial" w:eastAsia="Arial"/>
          <w:color w:val="252525"/>
          <w:sz w:val="72"/>
        </w:rPr>
        <w:t xml:space="preserve">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(Zone B iron-peak)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M_total_ejecta</w:t>
      </w:r>
      <w:r>
        <w:rPr>
          <w:rFonts w:ascii="Arial" w:hAnsi="Arial" w:cs="Arial" w:eastAsia="Arial"/>
          <w:color w:val="252525"/>
          <w:sz w:val="72"/>
        </w:rPr>
        <w:t xml:space="preserve"> ≈ M_progenitor - </w:t>
      </w:r>
      <w:r>
        <w:rPr>
          <w:rFonts w:ascii="Arial" w:hAnsi="Arial" w:cs="Arial" w:eastAsia="Arial"/>
          <w:color w:val="252525"/>
          <w:sz w:val="72"/>
        </w:rPr>
        <w:t>M</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ₘ</w:t>
      </w:r>
      <w:r>
        <w:rPr>
          <w:rFonts w:ascii="Arial" w:hAnsi="Arial" w:cs="Arial" w:eastAsia="Arial"/>
          <w:color w:val="252525"/>
          <w:sz w:val="72"/>
        </w:rPr>
        <w:t>ₙ</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xml:space="preserve"> ≈ 20 - </w:t>
      </w:r>
      <w:r>
        <w:rPr>
          <w:rFonts w:ascii="Arial" w:hAnsi="Arial" w:cs="Arial" w:eastAsia="Arial"/>
          <w:color w:val="252525"/>
          <w:sz w:val="72"/>
        </w:rPr>
        <w:t>1.6</w:t>
      </w:r>
      <w:r>
        <w:rPr>
          <w:rFonts w:ascii="Arial" w:hAnsi="Arial" w:cs="Arial" w:eastAsia="Arial"/>
          <w:color w:val="252525"/>
          <w:sz w:val="72"/>
        </w:rPr>
        <w:t xml:space="preserve"> ≈ 18.4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(0.00001 + </w:t>
      </w:r>
      <w:r>
        <w:rPr>
          <w:rFonts w:ascii="Arial" w:hAnsi="Arial" w:cs="Arial" w:eastAsia="Arial"/>
          <w:color w:val="252525"/>
          <w:sz w:val="72"/>
        </w:rPr>
        <w:t>0.01</w:t>
      </w:r>
      <w:r>
        <w:rPr>
          <w:rFonts w:ascii="Arial" w:hAnsi="Arial" w:cs="Arial" w:eastAsia="Arial"/>
          <w:color w:val="252525"/>
          <w:sz w:val="72"/>
        </w:rPr>
        <w:t xml:space="preserve"> + </w:t>
      </w:r>
      <w:r>
        <w:rPr>
          <w:rFonts w:ascii="Arial" w:hAnsi="Arial" w:cs="Arial" w:eastAsia="Arial"/>
          <w:color w:val="252525"/>
          <w:sz w:val="72"/>
        </w:rPr>
        <w:t>0.14</w:t>
      </w:r>
      <w:r>
        <w:rPr>
          <w:rFonts w:ascii="Arial" w:hAnsi="Arial" w:cs="Arial" w:eastAsia="Arial"/>
          <w:color w:val="252525"/>
          <w:sz w:val="72"/>
        </w:rPr>
        <w:t>)/18.4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0.0082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inner ejecta receives approximately 0.82 percent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total outward energy: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f</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ₙ</w:t>
      </w:r>
      <w:r>
        <w:rPr>
          <w:rFonts w:ascii="Arial" w:hAnsi="Arial" w:cs="Arial" w:eastAsia="Arial"/>
          <w:color w:val="252525"/>
          <w:sz w:val="72"/>
        </w:rPr>
        <w:t>ₑ</w:t>
      </w:r>
      <w:r>
        <w:rPr>
          <w:rFonts w:ascii="Arial" w:hAnsi="Arial" w:cs="Arial" w:eastAsia="Arial"/>
          <w:color w:val="252525"/>
          <w:sz w:val="72"/>
        </w:rPr>
        <w:t>ᵣ</w:t>
      </w:r>
      <w:r>
        <w:rPr>
          <w:rFonts w:ascii="Arial" w:hAnsi="Arial" w:cs="Arial" w:eastAsia="Arial"/>
          <w:color w:val="252525"/>
          <w:sz w:val="72"/>
        </w:rPr>
        <w:t xml:space="preserve"> × E</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0.0082 × (10⁵¹ + 0.762×10⁵⁰)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0.0082 × 1.076×10⁵¹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8.82×10⁴⁸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escape energy required for Layer 3 mass at Zone B radius: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E_escape_Layer3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(½) × M_Layer3 × v_escape_ZoneB²</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v_escape_ZoneB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√(2GM_enclosed/R_ZoneB)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 × 6.674×10⁻⁸ × 1.65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1.989×10³³/200×10⁵)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2.19</w:t>
      </w:r>
      <w:r>
        <w:rPr>
          <w:rFonts w:ascii="Arial" w:hAnsi="Arial" w:cs="Arial" w:eastAsia="Arial"/>
          <w:color w:val="252525"/>
          <w:sz w:val="72"/>
        </w:rPr>
        <w:t>×10²⁰)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1.48</w:t>
      </w:r>
      <w:r>
        <w:rPr>
          <w:rFonts w:ascii="Arial" w:hAnsi="Arial" w:cs="Arial" w:eastAsia="Arial"/>
          <w:color w:val="252525"/>
          <w:sz w:val="72"/>
        </w:rPr>
        <w:t>×10¹⁰ cm/s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0.049c</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E_escape_Layer3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(½) × </w:t>
      </w:r>
      <w:r>
        <w:rPr>
          <w:rFonts w:ascii="Arial" w:hAnsi="Arial" w:cs="Arial" w:eastAsia="Arial"/>
          <w:color w:val="252525"/>
          <w:sz w:val="72"/>
        </w:rPr>
        <w:t>0.14</w:t>
      </w:r>
      <w:r>
        <w:rPr>
          <w:rFonts w:ascii="Arial" w:hAnsi="Arial" w:cs="Arial" w:eastAsia="Arial"/>
          <w:color w:val="252525"/>
          <w:sz w:val="72"/>
        </w:rPr>
        <w:t xml:space="preserve"> × 1.989×10³³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1.48</w:t>
      </w:r>
      <w:r>
        <w:rPr>
          <w:rFonts w:ascii="Arial" w:hAnsi="Arial" w:cs="Arial" w:eastAsia="Arial"/>
          <w:color w:val="252525"/>
          <w:sz w:val="72"/>
        </w:rPr>
        <w:t>×10¹⁰)²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(½) × 2.78×10³² × </w:t>
      </w:r>
      <w:r>
        <w:rPr>
          <w:rFonts w:ascii="Arial" w:hAnsi="Arial" w:cs="Arial" w:eastAsia="Arial"/>
          <w:color w:val="252525"/>
          <w:sz w:val="72"/>
        </w:rPr>
        <w:t>2.19</w:t>
      </w:r>
      <w:r>
        <w:rPr>
          <w:rFonts w:ascii="Arial" w:hAnsi="Arial" w:cs="Arial" w:eastAsia="Arial"/>
          <w:color w:val="252525"/>
          <w:sz w:val="72"/>
        </w:rPr>
        <w:t>×10²⁰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3.05</w:t>
      </w:r>
      <w:r>
        <w:rPr>
          <w:rFonts w:ascii="Arial" w:hAnsi="Arial" w:cs="Arial" w:eastAsia="Arial"/>
          <w:color w:val="252525"/>
          <w:sz w:val="72"/>
        </w:rPr>
        <w:t>×10⁵²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three orders of magnitude larger than the energy available to the inner ejecta — which means the standard explosion energy is insufficient to drive Layer 3 above escape velocity from Zone B. Layer 3 remains bound on the first pass.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However — the Zone A TIFE products traveling at ~c through the system create a low-density channel through which the subsequent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outward pressure wave propagates more efficiently — the relativistic Zone A ejecta has cleared a path. The secondary effect is a modest increase in the velocity of the Layer 2 and Layer 3 material that follows behind the relativistic Zone A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velocity boost to Layer 3 material from following the relativistic Zone A shell:</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Δv_Layer3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E_deposited_ZoneB/</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(M_ZoneB × v_ZoneB) × v_ZoneB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E_deposited_ZoneB/M_ZoneB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1.71×10⁴⁴ / (</w:t>
      </w:r>
      <w:r>
        <w:rPr>
          <w:rFonts w:ascii="Arial" w:hAnsi="Arial" w:cs="Arial" w:eastAsia="Arial"/>
          <w:color w:val="252525"/>
          <w:sz w:val="72"/>
        </w:rPr>
        <w:t>0.14</w:t>
      </w:r>
      <w:r>
        <w:rPr>
          <w:rFonts w:ascii="Arial" w:hAnsi="Arial" w:cs="Arial" w:eastAsia="Arial"/>
          <w:color w:val="252525"/>
          <w:sz w:val="72"/>
        </w:rPr>
        <w:t xml:space="preserve"> × 1.989×10³³)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1.71×10⁴⁴ / 2.78×10³²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6.15</w:t>
      </w:r>
      <w:r>
        <w:rPr>
          <w:rFonts w:ascii="Arial" w:hAnsi="Arial" w:cs="Arial" w:eastAsia="Arial"/>
          <w:color w:val="252525"/>
          <w:sz w:val="72"/>
        </w:rPr>
        <w:t>×10¹¹ cm/s = 20.5c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Again superluminal — same issue as Zone A. The deposited energy is enormous relative to the Zone B mass for the relativistic coupling regime. In the relativistic framework:</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γ_boost_Layer3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E_deposited_ZoneB/</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(M_ZoneB c²)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1 + 1.71×10⁴⁴/</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[2.78×10³² × (2.998×10¹⁰)²]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+ 1.71×10⁴⁴/</w:t>
      </w:r>
      <w:r>
        <w:rPr>
          <w:rFonts w:ascii="Arial" w:hAnsi="Arial" w:cs="Arial" w:eastAsia="Arial"/>
          <w:color w:val="252525"/>
          <w:sz w:val="72"/>
        </w:rPr>
        <w:t>2.50</w:t>
      </w:r>
      <w:r>
        <w:rPr>
          <w:rFonts w:ascii="Arial" w:hAnsi="Arial" w:cs="Arial" w:eastAsia="Arial"/>
          <w:color w:val="252525"/>
          <w:sz w:val="72"/>
        </w:rPr>
        <w:t>×10⁵³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+ 6.84×10⁻¹⁰ ≈ 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relativistic factor is essentially 1 — the Zone A energy deposited in Zone B is negligible compared to the rest mass energy of Zone B. Zone B does not escape. The mass deficit from this mechanism is negligible.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honest accounting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Zone A TIFE relativistic ejecta constitutes genuinely missing mass — approximately </w:t>
      </w:r>
      <w:r>
        <w:rPr>
          <w:rFonts w:ascii="Arial" w:hAnsi="Arial" w:cs="Arial" w:eastAsia="Arial"/>
          <w:color w:val="252525"/>
          <w:sz w:val="72"/>
        </w:rPr>
        <w:t>1.26</w:t>
      </w:r>
      <w:r>
        <w:rPr>
          <w:rFonts w:ascii="Arial" w:hAnsi="Arial" w:cs="Arial" w:eastAsia="Arial"/>
          <w:color w:val="252525"/>
          <w:sz w:val="72"/>
        </w:rPr>
        <w:t>×10⁻⁸ solar masses — driven to essentially c. This is observationally negligible in the mass budget context (the discrepancy is 1 to 5 solar masses) but observationally significant as a relativistic component — it should be detectable as a fast radio burst or hard X-ray transient from the relativistic Zone A shell decelerating in the circumstellar medium.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1 to 5 solar mass mass budget discrepancy is therefore NOT primarily explained by the Zone A TIFE mechanism. The BSFM framework must attribute the bulk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of the discrepancy to one of the conventional explanations — primarily pre-explosion wind mass loss that is not accounted for in the pre-explosion progenitor mass estimate.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However the BSFM framework makes a specific additional prediction: a relativistic sub-component of the innermost ejecta — approximately 10⁻⁸ solar masses of Trans-Iron nuclei traveling at ~c — should be detectable in young supernova remnants as a distinct kinematic component. This component has no equivalent in standard supernova models and constitutes a genuine prediction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rather than a resolution of the mass budget discrepancy.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24.5 — THE REVISED PREDICTION: THE RELATIVISTIC ZONE A COMPONENT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main scientific result of this chapter is therefore not the resolution of the mass budget discrepancy — which is dominated by pre-explosion wind mass loss — but the specific prediction of a relativistic innermost ejecta component: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BSFM Relativistic Zone A Prediction: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Every core-collapse supernova produces a relativistic component of innermost ejecta consisting of approximately 10⁻⁸ to 10⁻⁶ solar masses of Trans-Iron nuclei (gold platinum uranium and thorium group elements) driven to Lorentz factors γ ≈ 10³ to 10⁴ by the TIFE Zone A energy gradient.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mass range 10⁻⁸ to 10⁻⁶ solar masses reflects the uncertainty in the Zone A mass estimate — the lower bound uses only the TIFE boundary layer mass and the upper bound includes Zone A material swept into the relativistic shell from the inner Zone B region.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Observational signatures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relativistic Zone A component produces three observable signatures: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Signature 1 </w:t>
      </w:r>
      <w:r>
        <w:rPr>
          <w:rFonts w:ascii="Arial" w:hAnsi="Arial" w:cs="Arial" w:eastAsia="Arial"/>
          <w:color w:val="252525"/>
          <w:sz w:val="72"/>
        </w:rPr>
        <w:t>— Radio synchrotron emission from the decelerating relativistic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As the relativistic Zone A shell decelerates in the circumstellar medium it produces synchrotron radio emission — the standard mechanism for radio supernovae. The BSFM prediction is that this radio component should show a specific spectral evolution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determined by the Lorentz factor γ ≈ 10³ to 10⁴:</w:t>
      </w:r>
    </w:p>
    <w:p>
      <w:pPr>
        <w:spacing w:line="270" w:lineRule="auto" w:after="0" w:before="0"/>
        <w:ind w:right="0" w:left="0"/>
        <w:rPr>
          <w:rFonts w:ascii="Arial" w:hAnsi="Arial" w:cs="Arial"/>
          <w:sz w:val="72"/>
        </w:rPr>
      </w:pPr>
      <w:r/>
    </w:p>
    <w:p>
      <w:pPr>
        <w:numPr>
          <w:numId w:val="1"/>
        </w:numPr>
        <w:spacing w:line="240" w:lineRule="auto" w:after="0" w:before="0"/>
        <w:ind w:right="0" w:left="567"/>
      </w:pPr>
      <w:r>
        <w:rPr>
          <w:rFonts w:ascii="Arial" w:hAnsi="Arial" w:cs="Arial" w:eastAsia="Arial"/>
          <w:b w:val="true"/>
          <w:color w:val="252525"/>
          <w:sz w:val="72"/>
        </w:rPr>
        <w:t xml:space="preserve">Peak radio frequency: </w:t>
      </w:r>
      <w:r>
        <w:rPr>
          <w:rFonts w:ascii="Arial" w:hAnsi="Arial" w:cs="Arial" w:eastAsia="Arial"/>
          <w:color w:val="252525"/>
          <w:sz w:val="72"/>
        </w:rPr>
        <w:t>f_peak ≈ γ² × f_gyro ≈ 10⁶ × (eB/2πm_e c) ≈ 10¹⁰ to 10¹² Hz — the GHz to THz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consistent with the observed radio emission from Type Ib/c supernovae — events associated with stripped-core massive stars where the circumstellar medium interaction is most pronounced. The BSFM framework specifically predicts that the relativistic component originates from the TIFE Zone A products — distinguishing it from the standard radio supernova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model which attributes all radio emission to shock interaction with circumstellar material.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Signature 2</w:t>
      </w:r>
      <w:r>
        <w:rPr>
          <w:rFonts w:ascii="Arial" w:hAnsi="Arial" w:cs="Arial" w:eastAsia="Arial"/>
          <w:color w:val="252525"/>
          <w:sz w:val="72"/>
        </w:rPr>
        <w:t xml:space="preserve"> — Hard X-ray transient from nuclear de-excitation in the decelerating shell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As the relativistic Zone A nuclei decelerate they undergo further beta decay in their excited states — producing hard X-ray and gamma-ray emission as the Trans-Iron nuclei decay toward stability in the presence of the circumstellar medium magnetic field.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hard X-ray transient peaks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approximately days to weeks after the explosion — when the relativistic shell has decelerated enough for the nuclear decay timescale to become comparable to the dynamical timescale. This is distinct from the Ni-56 decay gamma-ray emission (which peaks at ~77 days) in both timing and spectral character (the Trans-Iron decay produces a continuum rather than discrete lines).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Signature 3</w:t>
      </w:r>
      <w:r>
        <w:rPr>
          <w:rFonts w:ascii="Arial" w:hAnsi="Arial" w:cs="Arial" w:eastAsia="Arial"/>
          <w:color w:val="252525"/>
          <w:sz w:val="72"/>
        </w:rPr>
        <w:t xml:space="preserve"> — Chemical enrichment of the circumstellar medium with r-process elements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Trans-Iron nuclei in the Zone A shell deposit their r-process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products into the circumstellar medium as they decelerate — creating a shell of r-process-enriched material at the outer edge of the supernova remnant. This chemical enrichment is distinct from the bulk ejecta composition and should be detectable in high-resolution spectroscopy of young supernova remnants as an excess of r-process elements at the outermost observable boundary of the remnant.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SN 1987A this outermost enriched shell is now at approximately the position of the circumstellar ring — the pre-existing ring of material ejected by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progenitor star before the explosion. The BSFM prediction is that the circumstellar ring should show elevated r-process element abundances relative to the bulk progenitor composition — detectable with JWST infrared spectroscopy.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24.6</w:t>
      </w:r>
      <w:r>
        <w:rPr>
          <w:rFonts w:ascii="Arial" w:hAnsi="Arial" w:cs="Arial" w:eastAsia="Arial"/>
          <w:b w:val="true"/>
          <w:color w:val="252525"/>
          <w:sz w:val="72"/>
        </w:rPr>
        <w:t xml:space="preserve"> — THE CONVENTIONAL MASS BUDGET DISCREPANCY: BSFM ACCOUNTING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While the Zone A TIFE mechanism does not resolve the 1 to 5 solar mass mass budget discrepancy the BSFM framework provides a complete accounting that identifies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exactly where the discrepancy originates: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Component 1</w:t>
      </w:r>
      <w:r>
        <w:rPr>
          <w:rFonts w:ascii="Arial" w:hAnsi="Arial" w:cs="Arial" w:eastAsia="Arial"/>
          <w:color w:val="252525"/>
          <w:sz w:val="72"/>
        </w:rPr>
        <w:t xml:space="preserve"> — Pre-explosion wind mass loss (dominant)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primary contributor to the mass budget discrepancy is the systematic underestimate of pre-explosion wind mass loss in progenitor mass estimates. Pre-explosion imaging constrains the progenitor luminosity and effective temperature — from which a main-sequence mass is inferred using stellar evolution models. These models systematically underestimate wind mass loss in the final evolutionary stages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red supergiant and luminous blue variable phases) because the wind mass loss rates in these phases are poorly constrained by observations.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forensic inversion of Chapter 12 provides an independent constraint on the pre-explosion progenitor mass from the observed ejecta chemistry — specifically the M</w:t>
      </w:r>
      <w:r>
        <w:rPr>
          <w:rFonts w:ascii="Arial" w:hAnsi="Arial" w:cs="Arial" w:eastAsia="Arial"/>
          <w:color w:val="252525"/>
          <w:sz w:val="72"/>
        </w:rPr>
        <w:t>ₛ</w:t>
      </w:r>
      <w:r>
        <w:rPr>
          <w:rFonts w:ascii="Arial" w:hAnsi="Arial" w:cs="Arial" w:eastAsia="Arial"/>
          <w:color w:val="252525"/>
          <w:sz w:val="72"/>
        </w:rPr>
        <w:t xml:space="preserve"> estimate from the Zone B efficiency and U/Si ratio does not depend on pre-explosion imaging and is therefore free from the wind mass loss systematic error. Comparing the BSFM inversion mass estimate with the pre-explosion imaging mass estimate for well-studied events (SN 1987A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SN 2005gl SN 2012aw) provides a direct measurement of the wind mass loss systematic:</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BSFM prediction:</w:t>
      </w:r>
      <w:r>
        <w:rPr>
          <w:rFonts w:ascii="Arial" w:hAnsi="Arial" w:cs="Arial" w:eastAsia="Arial"/>
          <w:color w:val="252525"/>
          <w:sz w:val="72"/>
        </w:rPr>
        <w:t xml:space="preserve"> The BSFM inversion mass estimate will systematically exceed the pre-explosion imaging mass estimate by the wind mass loss amount — typically 2 to 4 solar masses for red supergiant progenitors in the 15 to 25 solar mass range.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Component 2</w:t>
      </w:r>
      <w:r>
        <w:rPr>
          <w:rFonts w:ascii="Arial" w:hAnsi="Arial" w:cs="Arial" w:eastAsia="Arial"/>
          <w:color w:val="252525"/>
          <w:sz w:val="72"/>
        </w:rPr>
        <w:t xml:space="preserve"> — Fallback accretion (secondary)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fraction of the innermost ejecta — primarily from the inner Layers 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and 3 — does not escape the gravitational potential and falls back onto the remnant on timescales of hours to years after the explosion. The BSFM framework predicts the fallback mass as: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M_fallback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(1 - ε_B) × f_fallback × M_Si</w:t>
      </w:r>
      <w:r>
        <w:rPr>
          <w:rFonts w:ascii="Arial" w:hAnsi="Arial" w:cs="Arial" w:eastAsia="Arial"/>
          <w:color w:val="252525"/>
          <w:sz w:val="72"/>
        </w:rPr>
        <w:t>ₚ</w:t>
      </w:r>
      <w:r>
        <w:rPr>
          <w:rFonts w:ascii="Arial" w:hAnsi="Arial" w:cs="Arial" w:eastAsia="Arial"/>
          <w:color w:val="252525"/>
          <w:sz w:val="72"/>
        </w:rPr>
        <w:t>ₗ</w:t>
      </w:r>
      <w:r>
        <w:rPr>
          <w:rFonts w:ascii="Arial" w:hAnsi="Arial" w:cs="Arial" w:eastAsia="Arial"/>
          <w:color w:val="252525"/>
          <w:sz w:val="72"/>
        </w:rPr>
        <w:t>ₐ</w:t>
      </w:r>
      <w:r>
        <w:rPr>
          <w:rFonts w:ascii="Arial" w:hAnsi="Arial" w:cs="Arial" w:eastAsia="Arial"/>
          <w:color w:val="252525"/>
          <w:sz w:val="72"/>
        </w:rPr>
        <w:t>ₛ</w:t>
      </w:r>
      <w:r>
        <w:rPr>
          <w:rFonts w:ascii="Arial" w:hAnsi="Arial" w:cs="Arial" w:eastAsia="Arial"/>
          <w:color w:val="252525"/>
          <w:sz w:val="72"/>
        </w:rPr>
        <w:t>ₘ</w:t>
      </w:r>
      <w:r>
        <w:rPr>
          <w:rFonts w:ascii="Arial" w:hAnsi="Arial" w:cs="Arial" w:eastAsia="Arial"/>
          <w:color w:val="252525"/>
          <w:sz w:val="72"/>
        </w:rPr>
        <w:t>ₐ</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f_fallback is the fraction of ejected material with velocity below the local escape velocity at its position at shock breakout — approximately 0.1 to 0.3 for standard explosion energies.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Component 3</w:t>
      </w:r>
      <w:r>
        <w:rPr>
          <w:rFonts w:ascii="Arial" w:hAnsi="Arial" w:cs="Arial" w:eastAsia="Arial"/>
          <w:color w:val="252525"/>
          <w:sz w:val="72"/>
        </w:rPr>
        <w:t xml:space="preserve"> — Relativistic Zone A ejecta (negligible in mass but observationally significant)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M_ZoneA ≈ 10⁻⁸ to 10⁻⁶ solar masses — negligible contribution to the mass budget discrepancy but a distinct observable component.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Total mass budget accounting:</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M_progenitor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w:t>
      </w:r>
      <w:r>
        <w:rPr>
          <w:rFonts w:ascii="Arial" w:hAnsi="Arial" w:cs="Arial" w:eastAsia="Arial"/>
          <w:color w:val="252525"/>
          <w:sz w:val="72"/>
        </w:rPr>
        <w:t>ᵣ</w:t>
      </w:r>
      <w:r>
        <w:rPr>
          <w:rFonts w:ascii="Arial" w:hAnsi="Arial" w:cs="Arial" w:eastAsia="Arial"/>
          <w:color w:val="252525"/>
          <w:sz w:val="72"/>
        </w:rPr>
        <w:t>ₑ</w:t>
      </w:r>
      <w:r>
        <w:rPr>
          <w:rFonts w:ascii="Arial" w:hAnsi="Arial" w:cs="Arial" w:eastAsia="Arial"/>
          <w:color w:val="252525"/>
          <w:sz w:val="72"/>
        </w:rPr>
        <w:t>ₘ</w:t>
      </w:r>
      <w:r>
        <w:rPr>
          <w:rFonts w:ascii="Arial" w:hAnsi="Arial" w:cs="Arial" w:eastAsia="Arial"/>
          <w:color w:val="252525"/>
          <w:sz w:val="72"/>
        </w:rPr>
        <w:t>ₙ</w:t>
      </w:r>
      <w:r>
        <w:rPr>
          <w:rFonts w:ascii="Arial" w:hAnsi="Arial" w:cs="Arial" w:eastAsia="Arial"/>
          <w:color w:val="252525"/>
          <w:sz w:val="72"/>
        </w:rPr>
        <w:t>ₐ</w:t>
      </w:r>
      <w:r>
        <w:rPr>
          <w:rFonts w:ascii="Arial" w:hAnsi="Arial" w:cs="Arial" w:eastAsia="Arial"/>
          <w:color w:val="252525"/>
          <w:sz w:val="72"/>
        </w:rPr>
        <w:t>ₙ</w:t>
      </w:r>
      <w:r>
        <w:rPr>
          <w:rFonts w:ascii="Arial" w:hAnsi="Arial" w:cs="Arial" w:eastAsia="Arial"/>
          <w:color w:val="252525"/>
          <w:sz w:val="72"/>
        </w:rPr>
        <w:t>ₜ</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M_ejecta_observed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M_wind</w:t>
      </w:r>
      <w:r>
        <w:rPr>
          <w:rFonts w:ascii="Arial" w:hAnsi="Arial" w:cs="Arial" w:eastAsia="Arial"/>
          <w:color w:val="252525"/>
          <w:sz w:val="72"/>
        </w:rPr>
        <w:t>ₗ</w:t>
      </w:r>
      <w:r>
        <w:rPr>
          <w:rFonts w:ascii="Arial" w:hAnsi="Arial" w:cs="Arial" w:eastAsia="Arial"/>
          <w:color w:val="252525"/>
          <w:sz w:val="72"/>
        </w:rPr>
        <w:t>ₒ</w:t>
      </w:r>
      <w:r>
        <w:rPr>
          <w:rFonts w:ascii="Arial" w:hAnsi="Arial" w:cs="Arial" w:eastAsia="Arial"/>
          <w:color w:val="252525"/>
          <w:sz w:val="72"/>
        </w:rPr>
        <w:t>ₛ</w:t>
      </w:r>
      <w:r>
        <w:rPr>
          <w:rFonts w:ascii="Arial" w:hAnsi="Arial" w:cs="Arial" w:eastAsia="Arial"/>
          <w:color w:val="252525"/>
          <w:sz w:val="72"/>
        </w:rPr>
        <w:t>ₜ</w:t>
      </w:r>
      <w:r>
        <w:rPr>
          <w:rFonts w:ascii="Arial" w:hAnsi="Arial" w:cs="Arial" w:eastAsia="Arial"/>
          <w:color w:val="252525"/>
          <w:sz w:val="72"/>
        </w:rPr>
        <w:t xml:space="preserve">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M_fallback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M_ZoneA_relativistic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each term is now constrained by the BSFM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w:t>
      </w:r>
      <w:r>
        <w:rPr>
          <w:rFonts w:ascii="Arial" w:hAnsi="Arial" w:cs="Arial" w:eastAsia="Arial"/>
          <w:b w:val="true"/>
          <w:color w:val="252525"/>
          <w:sz w:val="72"/>
        </w:rPr>
        <w:t>ᵣ</w:t>
      </w:r>
      <w:r>
        <w:rPr>
          <w:rFonts w:ascii="Arial" w:hAnsi="Arial" w:cs="Arial" w:eastAsia="Arial"/>
          <w:b w:val="true"/>
          <w:color w:val="252525"/>
          <w:sz w:val="72"/>
        </w:rPr>
        <w:t>ₑ</w:t>
      </w:r>
      <w:r>
        <w:rPr>
          <w:rFonts w:ascii="Arial" w:hAnsi="Arial" w:cs="Arial" w:eastAsia="Arial"/>
          <w:b w:val="true"/>
          <w:color w:val="252525"/>
          <w:sz w:val="72"/>
        </w:rPr>
        <w:t>ₘ</w:t>
      </w:r>
      <w:r>
        <w:rPr>
          <w:rFonts w:ascii="Arial" w:hAnsi="Arial" w:cs="Arial" w:eastAsia="Arial"/>
          <w:b w:val="true"/>
          <w:color w:val="252525"/>
          <w:sz w:val="72"/>
        </w:rPr>
        <w:t>ₙ</w:t>
      </w:r>
      <w:r>
        <w:rPr>
          <w:rFonts w:ascii="Arial" w:hAnsi="Arial" w:cs="Arial" w:eastAsia="Arial"/>
          <w:b w:val="true"/>
          <w:color w:val="252525"/>
          <w:sz w:val="72"/>
        </w:rPr>
        <w:t>ₐ</w:t>
      </w:r>
      <w:r>
        <w:rPr>
          <w:rFonts w:ascii="Arial" w:hAnsi="Arial" w:cs="Arial" w:eastAsia="Arial"/>
          <w:b w:val="true"/>
          <w:color w:val="252525"/>
          <w:sz w:val="72"/>
        </w:rPr>
        <w:t>ₙ</w:t>
      </w:r>
      <w:r>
        <w:rPr>
          <w:rFonts w:ascii="Arial" w:hAnsi="Arial" w:cs="Arial" w:eastAsia="Arial"/>
          <w:b w:val="true"/>
          <w:color w:val="252525"/>
          <w:sz w:val="72"/>
        </w:rPr>
        <w:t>ₜ</w:t>
      </w:r>
      <w:r>
        <w:rPr>
          <w:rFonts w:ascii="Arial" w:hAnsi="Arial" w:cs="Arial" w:eastAsia="Arial"/>
          <w:b w:val="true"/>
          <w:color w:val="252525"/>
          <w:sz w:val="72"/>
        </w:rPr>
        <w:t xml:space="preserve">: </w:t>
      </w:r>
      <w:r>
        <w:rPr>
          <w:rFonts w:ascii="Arial" w:hAnsi="Arial" w:cs="Arial" w:eastAsia="Arial"/>
          <w:color w:val="252525"/>
          <w:sz w:val="72"/>
        </w:rPr>
        <w:t>measured from neutron star/black hole observations.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M_ejecta_observed:</w:t>
      </w:r>
      <w:r>
        <w:rPr>
          <w:rFonts w:ascii="Arial" w:hAnsi="Arial" w:cs="Arial" w:eastAsia="Arial"/>
          <w:color w:val="252525"/>
          <w:sz w:val="72"/>
        </w:rPr>
        <w:t xml:space="preserve"> measured from spectroscopic surveys of the expanding ejecta.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M_wind</w:t>
      </w:r>
      <w:r>
        <w:rPr>
          <w:rFonts w:ascii="Arial" w:hAnsi="Arial" w:cs="Arial" w:eastAsia="Arial"/>
          <w:b w:val="true"/>
          <w:color w:val="252525"/>
          <w:sz w:val="72"/>
        </w:rPr>
        <w:t>ₗ</w:t>
      </w:r>
      <w:r>
        <w:rPr>
          <w:rFonts w:ascii="Arial" w:hAnsi="Arial" w:cs="Arial" w:eastAsia="Arial"/>
          <w:b w:val="true"/>
          <w:color w:val="252525"/>
          <w:sz w:val="72"/>
        </w:rPr>
        <w:t>ₒ</w:t>
      </w:r>
      <w:r>
        <w:rPr>
          <w:rFonts w:ascii="Arial" w:hAnsi="Arial" w:cs="Arial" w:eastAsia="Arial"/>
          <w:b w:val="true"/>
          <w:color w:val="252525"/>
          <w:sz w:val="72"/>
        </w:rPr>
        <w:t>ₛ</w:t>
      </w:r>
      <w:r>
        <w:rPr>
          <w:rFonts w:ascii="Arial" w:hAnsi="Arial" w:cs="Arial" w:eastAsia="Arial"/>
          <w:b w:val="true"/>
          <w:color w:val="252525"/>
          <w:sz w:val="72"/>
        </w:rPr>
        <w:t>ₜ</w:t>
      </w:r>
      <w:r>
        <w:rPr>
          <w:rFonts w:ascii="Arial" w:hAnsi="Arial" w:cs="Arial" w:eastAsia="Arial"/>
          <w:b w:val="true"/>
          <w:color w:val="252525"/>
          <w:sz w:val="72"/>
        </w:rPr>
        <w:t>:</w:t>
      </w:r>
      <w:r>
        <w:rPr>
          <w:rFonts w:ascii="Arial" w:hAnsi="Arial" w:cs="Arial" w:eastAsia="Arial"/>
          <w:color w:val="252525"/>
          <w:sz w:val="72"/>
        </w:rPr>
        <w:t xml:space="preserve"> constrained by the difference between the BSFM inversion mass and the pre-explosion imaging mass.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M_fallback:</w:t>
      </w:r>
      <w:r>
        <w:rPr>
          <w:rFonts w:ascii="Arial" w:hAnsi="Arial" w:cs="Arial" w:eastAsia="Arial"/>
          <w:color w:val="252525"/>
          <w:sz w:val="72"/>
        </w:rPr>
        <w:t xml:space="preserve"> predicted from the Zone B efficiency function.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M_ZoneA_relativistic:</w:t>
      </w:r>
      <w:r>
        <w:rPr>
          <w:rFonts w:ascii="Arial" w:hAnsi="Arial" w:cs="Arial" w:eastAsia="Arial"/>
          <w:color w:val="252525"/>
          <w:sz w:val="72"/>
        </w:rPr>
        <w:t xml:space="preserve"> predicted from the TIFE energy model at approximately 10⁻⁸ to 10⁻⁶ solar masses.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24.7</w:t>
      </w:r>
      <w:r>
        <w:rPr>
          <w:rFonts w:ascii="Arial" w:hAnsi="Arial" w:cs="Arial" w:eastAsia="Arial"/>
          <w:b w:val="true"/>
          <w:color w:val="252525"/>
          <w:sz w:val="72"/>
        </w:rPr>
        <w:t xml:space="preserve"> — SUMMARY OF CHAPTER 20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framework's treatment of the missing baryonic mass problem produces three distinct results: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First</w:t>
      </w:r>
      <w:r>
        <w:rPr>
          <w:rFonts w:ascii="Arial" w:hAnsi="Arial" w:cs="Arial" w:eastAsia="Arial"/>
          <w:color w:val="252525"/>
          <w:sz w:val="72"/>
        </w:rPr>
        <w:t xml:space="preserve"> — the Zone A TIFE mechanism drives approximately 10⁻⁸ to 10⁻⁶ solar masses of Trans-Iron nuclei to relativistic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velocities (γ ≈ 10³ to 10⁴) — creating a genuinely novel prediction of a relativistic innermost ejecta component with three observable signatures: radio synchrotron emission from the decelerating shell, a hard X-ray transient from nuclear de-excitation, and r-process chemical enrichment of the circumstellar medium.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Second</w:t>
      </w:r>
      <w:r>
        <w:rPr>
          <w:rFonts w:ascii="Arial" w:hAnsi="Arial" w:cs="Arial" w:eastAsia="Arial"/>
          <w:color w:val="252525"/>
          <w:sz w:val="72"/>
        </w:rPr>
        <w:t xml:space="preserve"> — the 1 to 5 solar mass mass budget discrepancy is not resolved by the Zone A mechanism but is accounted for by a combination of pre-explosion wind mass loss (dominant), fallback accretion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(secondary), and the negligible Zone A relativistic component. The BSFM forensic inversion provides an independent constraint on the wind mass loss contribution by comparing the inversion-derived progenitor mass with the pre-explosion imaging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Third</w:t>
      </w:r>
      <w:r>
        <w:rPr>
          <w:rFonts w:ascii="Arial" w:hAnsi="Arial" w:cs="Arial" w:eastAsia="Arial"/>
          <w:color w:val="252525"/>
          <w:sz w:val="72"/>
        </w:rPr>
        <w:t xml:space="preserve"> — the complete BSFM mass budget equation provides a fully specified accounting of every mass component — each term constrained by a different observational or theoretical method — transforming the mass budget discrepancy from an unresolved systematic into a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predictive framework with specific confirmation criteria.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relativistic Zone A component is the primary new prediction of this chapter. It is testable against existing radio and X-ray observations of young supernovae and supernova remnants — specifically the detection of a distinct kinematic component at Lorentz factors γ &gt;&gt; 1 in the innermost ejecta of Type Ib/c and other stripped-core supernovae would constitute direct evidence for the TIFE Zone A energy gradient mechanism.</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87"/>
        </w:rPr>
        <w:t>CHAPTER 25</w:t>
      </w: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TIFE AS THE UNIFIED r-PROCESS ENGINE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25.0.1 What this chapter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formal investigation of whether the Trans-Iron Fusion Epoch — operating under the boundary conditions of a binary neutron star merger rather than a core-collapse supernova bounce — reproduces the r-process nucleosynthesis yields conventionally attributed to neutron star mergers as an independent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production site. If it does the two conventionally separate r-process sites are unified under a single physical mechanism — the TIFE — operating under different boundary conditions. If it does not the chapter precisely characterizes where the TIFE mechanism falls short in the merger context and what additional physics would be required to complete the unification.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r-process site problem in astrophysics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origin of the heavy r-process elements — gold platinum uranium thorium and their neighbors on the periodic table — is one of the most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actively debated problems in nuclear astrophysics. Two primary production sites have been proposed: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Core-collapse supernovae: </w:t>
      </w:r>
      <w:r>
        <w:rPr>
          <w:rFonts w:ascii="Arial" w:hAnsi="Arial" w:cs="Arial" w:eastAsia="Arial"/>
          <w:color w:val="252525"/>
          <w:sz w:val="72"/>
        </w:rPr>
        <w:t xml:space="preserve">the original r-process site proposal dating to Burbidge Burbidge Fowler and Hoyle 1957. Core-collapse supernovae are frequent — two to three per century per galaxy — and occur throughout cosmic history. However detailed models have struggled to produce sufficient neutron flux in the neutrino-driven wind environment to match observed r-process abundances without invoking specific conditions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(magnetorotational jets for example) that are not generic to all core-collapse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Binary neutron star mergers: </w:t>
      </w:r>
      <w:r>
        <w:rPr>
          <w:rFonts w:ascii="Arial" w:hAnsi="Arial" w:cs="Arial" w:eastAsia="Arial"/>
          <w:color w:val="252525"/>
          <w:sz w:val="72"/>
        </w:rPr>
        <w:t>following the detection of GW170817 and its associated kilonova AT2017gfo — which showed spectroscopic evidence for heavy r-process elements including strontium and lanthanides — neutron star mergers became the leading candidate for the dominant r-process production site. The merger ejecta environment achieves the high neutron-to-proton ratios required for 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process nucleosynthesis naturally through the decompression of neutron star material.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problem with a pure neutron star merger origin is cosmic chemical evolution. Neutron star mergers are rare — approximately one per 10000 to 100000 years per galaxy — and have a long delay time between progenitor star formation and merger (typically billions of years for the binary to inspiral through gravitational wave emission). The observed chemical evolution of r-process elements in metal-poor stars — which formed early in the universe when merger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rates should have been low — shows r-process enrichment at very early times inconsistent with a pure neutron star merger origin.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current consensus is that both sites contribute — but the relative contribution and the physical mechanism connecting them remain unresolved. The BSFM framework proposes a resolution: the TIFE operating under different boundary conditions is the single physical mechanism responsible for r-process production at both sites.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25.0.1 Why this chapter matters for the trilogy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unification of the r-process production sites is a direct consequence of the Universal Boundary Impedance Theorem of Chapter 8. If η governs energy partitioning at maximum-gradient boundary surfaces — and if binary neutron star merger interfaces qualify as such — then the same TIFE-like mechanism operates at mergers as at supernova bounces. The Chapter 8 prediction of neutron star mergers as a second TIFE instance (Section </w:t>
      </w:r>
      <w:r>
        <w:rPr>
          <w:rFonts w:ascii="Arial" w:hAnsi="Arial" w:cs="Arial" w:eastAsia="Arial"/>
          <w:color w:val="252525"/>
          <w:sz w:val="72"/>
        </w:rPr>
        <w:t>8.4</w:t>
      </w:r>
      <w:r>
        <w:rPr>
          <w:rFonts w:ascii="Arial" w:hAnsi="Arial" w:cs="Arial" w:eastAsia="Arial"/>
          <w:color w:val="252525"/>
          <w:sz w:val="72"/>
        </w:rPr>
        <w:t xml:space="preserve"> Prediction 2) is evaluated in detail here.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successful unification in this chapter would extend the Universal Boundary Impedance Theorem to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third physical instance — beyond the event horizon and the supernova bounce — and would constitute strong additional evidence for the universality of η. An unsuccessful unification would precisely characterize the limits of the theorem's applicability and would be itself a significant scientific result.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1 </w:t>
      </w:r>
      <w:r>
        <w:rPr>
          <w:rFonts w:ascii="Arial" w:hAnsi="Arial" w:cs="Arial" w:eastAsia="Arial"/>
          <w:color w:val="252525"/>
          <w:sz w:val="72"/>
        </w:rPr>
        <w:t xml:space="preserve">— The binary neutron star merger interface is treated as the Zone A analog in the merger context — the surface at which two neutron-density objects first come into contact and at which the compression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rate first exceeds the nuclear reaction termination rate. This is the TIFE condition applied to the merger geometry.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2 </w:t>
      </w:r>
      <w:r>
        <w:rPr>
          <w:rFonts w:ascii="Arial" w:hAnsi="Arial" w:cs="Arial" w:eastAsia="Arial"/>
          <w:color w:val="252525"/>
          <w:sz w:val="72"/>
        </w:rPr>
        <w:t xml:space="preserve">— The neutron-rich environment of the merger interface provides the neutron source for the r-process chain. In the supernova context the TIFE produces neutrons through rapid nucleon liberation under extreme compression. In the merger context pre-existing neutrons from the neutron star material provide the source. The r-process chain proceeds by the same neutron capture mechanism in both cases — the difference is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the source of the neutrons, not the nuclear physics of the chain.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merger interface satisfies the four maximum-gradient boundary conditions of Chapter 5 — this is evaluated explicitly in Section </w:t>
      </w:r>
      <w:r>
        <w:rPr>
          <w:rFonts w:ascii="Arial" w:hAnsi="Arial" w:cs="Arial" w:eastAsia="Arial"/>
          <w:color w:val="252525"/>
          <w:sz w:val="72"/>
        </w:rPr>
        <w:t>16.2</w:t>
      </w:r>
      <w:r>
        <w:rPr>
          <w:rFonts w:ascii="Arial" w:hAnsi="Arial" w:cs="Arial" w:eastAsia="Arial"/>
          <w:color w:val="252525"/>
          <w:sz w:val="72"/>
        </w:rPr>
        <w:t>. If the conditions are not satisfied the TIFE analogy breaks down and the merger r-process proceeds through a different mechanism.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4 </w:t>
      </w:r>
      <w:r>
        <w:rPr>
          <w:rFonts w:ascii="Arial" w:hAnsi="Arial" w:cs="Arial" w:eastAsia="Arial"/>
          <w:color w:val="252525"/>
          <w:sz w:val="72"/>
        </w:rPr>
        <w:t xml:space="preserve">— The merger ejecta mass is taken from GW170817 observations — approximately </w:t>
      </w:r>
      <w:r>
        <w:rPr>
          <w:rFonts w:ascii="Arial" w:hAnsi="Arial" w:cs="Arial" w:eastAsia="Arial"/>
          <w:color w:val="252525"/>
          <w:sz w:val="72"/>
        </w:rPr>
        <w:t>0.01</w:t>
      </w:r>
      <w:r>
        <w:rPr>
          <w:rFonts w:ascii="Arial" w:hAnsi="Arial" w:cs="Arial" w:eastAsia="Arial"/>
          <w:color w:val="252525"/>
          <w:sz w:val="72"/>
        </w:rPr>
        <w:t xml:space="preserve"> to </w:t>
      </w:r>
      <w:r>
        <w:rPr>
          <w:rFonts w:ascii="Arial" w:hAnsi="Arial" w:cs="Arial" w:eastAsia="Arial"/>
          <w:color w:val="252525"/>
          <w:sz w:val="72"/>
        </w:rPr>
        <w:t>0.05</w:t>
      </w:r>
      <w:r>
        <w:rPr>
          <w:rFonts w:ascii="Arial" w:hAnsi="Arial" w:cs="Arial" w:eastAsia="Arial"/>
          <w:color w:val="252525"/>
          <w:sz w:val="72"/>
        </w:rPr>
        <w:t xml:space="preserve"> solar masses of dynamical ejecta with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r-process yields consistent with lanthanide-rich kilonova emission. This is the primary observational calibration point for the merger r-process.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25.1</w:t>
      </w:r>
      <w:r>
        <w:rPr>
          <w:rFonts w:ascii="Arial" w:hAnsi="Arial" w:cs="Arial" w:eastAsia="Arial"/>
          <w:b w:val="true"/>
          <w:color w:val="252525"/>
          <w:sz w:val="72"/>
        </w:rPr>
        <w:t xml:space="preserve"> — THE TIFE MECHANISM AT THE SUPERNOVA BOUNCE: SUMMARY OF KEY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Before applying the TIFE framework to the merger context it is useful to summarize the key parameters of the TIFE at the supernova bounce — the calibrated case — against which the merger case will be compared.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TIFE at the supernova bounce: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Boundary surface: </w:t>
      </w:r>
      <w:r>
        <w:rPr>
          <w:rFonts w:ascii="Arial" w:hAnsi="Arial" w:cs="Arial" w:eastAsia="Arial"/>
          <w:color w:val="252525"/>
          <w:sz w:val="72"/>
        </w:rPr>
        <w:t>Zone A — innermost Silicon Fusion Shell surface at radius R_ZoneA ≈ 50 km.</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Compression rate:</w:t>
      </w:r>
      <w:r>
        <w:rPr>
          <w:rFonts w:ascii="Arial" w:hAnsi="Arial" w:cs="Arial" w:eastAsia="Arial"/>
          <w:color w:val="252525"/>
          <w:sz w:val="72"/>
        </w:rPr>
        <w:t xml:space="preserve"> τ_compression ≈ 10⁻⁶ to 10⁻⁷ seconds — the timescale for the gravitational gradient to compress silicon nuclei to sub-nuclear separation.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Fusion termination rate:</w:t>
      </w:r>
      <w:r>
        <w:rPr>
          <w:rFonts w:ascii="Arial" w:hAnsi="Arial" w:cs="Arial" w:eastAsia="Arial"/>
          <w:color w:val="252525"/>
          <w:sz w:val="72"/>
        </w:rPr>
        <w:t xml:space="preserve"> τ_fusion(Si) ≈ 10⁻⁶ seconds — the standard silicon-to-iron fusion timescale.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crossover condition τ_compression &lt; τ_fusion(Si) is satisfied when the compression rate exceeds the fusion rate — the TIFE initiation.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Energy density at boundary: </w:t>
      </w:r>
      <w:r>
        <w:rPr>
          <w:rFonts w:ascii="Arial" w:hAnsi="Arial" w:cs="Arial" w:eastAsia="Arial"/>
          <w:color w:val="252525"/>
          <w:sz w:val="72"/>
        </w:rPr>
        <w:t>ε_ZoneA ≈ 10¹⁴ g/cm³ × c² ≈ 9×10³³ erg/cm³ — nuclear saturation density energy density.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Neutron flux at Zone A:</w:t>
      </w:r>
      <w:r>
        <w:rPr>
          <w:rFonts w:ascii="Arial" w:hAnsi="Arial" w:cs="Arial" w:eastAsia="Arial"/>
          <w:color w:val="252525"/>
          <w:sz w:val="72"/>
        </w:rPr>
        <w:t xml:space="preserve"> n</w:t>
      </w:r>
      <w:r>
        <w:rPr>
          <w:rFonts w:ascii="Arial" w:hAnsi="Arial" w:cs="Arial" w:eastAsia="Arial"/>
          <w:color w:val="252525"/>
          <w:sz w:val="72"/>
        </w:rPr>
        <w:t>ₙ</w:t>
      </w:r>
      <w:r>
        <w:rPr>
          <w:rFonts w:ascii="Arial" w:hAnsi="Arial" w:cs="Arial" w:eastAsia="Arial"/>
          <w:color w:val="252525"/>
          <w:sz w:val="72"/>
        </w:rPr>
        <w:t xml:space="preserve"> ∝ v_infall² × ρ_Fe_core — from the neutronization of iron-peak nuclei under extreme compression.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Boundary geometry: </w:t>
      </w:r>
      <w:r>
        <w:rPr>
          <w:rFonts w:ascii="Arial" w:hAnsi="Arial" w:cs="Arial" w:eastAsia="Arial"/>
          <w:color w:val="252525"/>
          <w:sz w:val="72"/>
        </w:rPr>
        <w:t xml:space="preserve">approximately spherical S² at R_ZoneA — satisfying Condition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3 of Chapter 5 for a_* ≤ 0.61.</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Boundary impedance efficiency: </w:t>
      </w:r>
      <w:r>
        <w:rPr>
          <w:rFonts w:ascii="Arial" w:hAnsi="Arial" w:cs="Arial" w:eastAsia="Arial"/>
          <w:color w:val="252525"/>
          <w:sz w:val="72"/>
        </w:rPr>
        <w:t xml:space="preserve">η = </w:t>
      </w:r>
      <w:r>
        <w:rPr>
          <w:rFonts w:ascii="Arial" w:hAnsi="Arial" w:cs="Arial" w:eastAsia="Arial"/>
          <w:color w:val="252525"/>
          <w:sz w:val="72"/>
        </w:rPr>
        <w:t>1/20</w:t>
      </w:r>
      <w:r>
        <w:rPr>
          <w:rFonts w:ascii="Arial" w:hAnsi="Arial" w:cs="Arial" w:eastAsia="Arial"/>
          <w:color w:val="252525"/>
          <w:sz w:val="72"/>
        </w:rPr>
        <w:t>π — the fraction of incident energy reflected as the TIFE secondary neutrino burst.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r-process ladder extent: </w:t>
      </w:r>
      <w:r>
        <w:rPr>
          <w:rFonts w:ascii="Arial" w:hAnsi="Arial" w:cs="Arial" w:eastAsia="Arial"/>
          <w:color w:val="252525"/>
          <w:sz w:val="72"/>
        </w:rPr>
        <w:t>atomic mass range A = 57 to approximately 130 for M_s = 20 M_sun — the first and second r-process peaks.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25.2</w:t>
      </w:r>
      <w:r>
        <w:rPr>
          <w:rFonts w:ascii="Arial" w:hAnsi="Arial" w:cs="Arial" w:eastAsia="Arial"/>
          <w:b w:val="true"/>
          <w:color w:val="252525"/>
          <w:sz w:val="72"/>
        </w:rPr>
        <w:t xml:space="preserve"> — THE MERGER INTERFACE AS A MAXIMUM-GRADIENT BOUNDARY SURFACE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binary neutron star merger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creates an interface between two neutron-density objects colliding at a significant fraction of c. The merger interface is the contact surface between the two neutron stars — the region where matter from each star first interpenetrates the other.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We evaluate the four maximum-gradient boundary conditions of Chapter 5 at the merger interface.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1</w:t>
      </w:r>
      <w:r>
        <w:rPr>
          <w:rFonts w:ascii="Arial" w:hAnsi="Arial" w:cs="Arial" w:eastAsia="Arial"/>
          <w:color w:val="252525"/>
          <w:sz w:val="72"/>
        </w:rPr>
        <w:t xml:space="preserve"> — Gradient Criticality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At the merger interface the compression rate is determined by the relative velocity of the two neutron stars at contact. For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typical binary neutron star merger the relative velocity at contact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v_contact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√(2GM</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/R_NS)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 × 6.674×10⁻⁸ × </w:t>
      </w:r>
      <w:r>
        <w:rPr>
          <w:rFonts w:ascii="Arial" w:hAnsi="Arial" w:cs="Arial" w:eastAsia="Arial"/>
          <w:color w:val="252525"/>
          <w:sz w:val="72"/>
        </w:rPr>
        <w:t>2.8</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1.989×10³³/10×10⁵)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7.43</w:t>
      </w:r>
      <w:r>
        <w:rPr>
          <w:rFonts w:ascii="Arial" w:hAnsi="Arial" w:cs="Arial" w:eastAsia="Arial"/>
          <w:color w:val="252525"/>
          <w:sz w:val="72"/>
        </w:rPr>
        <w:t xml:space="preserve">×10²⁰) = 2.73×10¹⁰ cm/s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0.091c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GW170817 the component masses were approximately </w:t>
      </w:r>
      <w:r>
        <w:rPr>
          <w:rFonts w:ascii="Arial" w:hAnsi="Arial" w:cs="Arial" w:eastAsia="Arial"/>
          <w:color w:val="252525"/>
          <w:sz w:val="72"/>
        </w:rPr>
        <w:t>1.17</w:t>
      </w:r>
      <w:r>
        <w:rPr>
          <w:rFonts w:ascii="Arial" w:hAnsi="Arial" w:cs="Arial" w:eastAsia="Arial"/>
          <w:color w:val="252525"/>
          <w:sz w:val="72"/>
        </w:rPr>
        <w:t xml:space="preserve"> and 1.60 solar masses giving M_total = 2.77 solar masses and:</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v_contact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0.091c × √(2.77/2.8)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0.090c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compression rate at the merger interface: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τ_compression_merger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R_NS / v_contact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10×10⁵ cm/(0.091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2.998×10¹⁰ cm/s)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10⁶/(2.73×10⁹) ≈ 3.66×10⁻⁴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nuclear reaction rate at nuclear density — specifically the timescale for neutron-nuclear interactions that drive the r-process chain: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τ_reaction_merger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1/(n_n × σ_n × v_thermal)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1/(10³⁸ cm⁻³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10⁻⁴² cm² × 10⁹ cm/s)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10⁻⁵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crossover condition at the merger interface: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τ_compression_merger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3.66×10⁻⁴ seconds &gt;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τ_reaction_merger ≈ 10⁻⁵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compression rate does NOT exceed the nuclear reaction rate at the merger interface — τ_compression &gt; τ_reaction. The TIFE condition (τ_compression &lt; τ_reaction) is not satisfied at the outer merger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However at the center of the merger — the point of maximum compression where the two stellar cores interpenetrate at maximum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velocity — the compression timescale is shorter: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τ_compression_center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R_NS_core/v_contact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1×10⁵ cm/(2.73×10⁹ cm/s)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3.66×10⁻⁵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central merger core the compression timescale is τ_compression_center ≈ 3.66×10⁻⁵ seconds — comparable to but still marginally longer than τ_reaction ≈ 10⁻⁵ 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the crossover condition to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satisfied at the merger requires: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v_contact &gt; R_NS_core/τ_reaction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10⁵ cm / 10⁻⁵ s = 10¹⁰ cm/s ≈ 0.033c</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v_contact = 0.091c &gt;&gt; 0.033c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condition IS satisfied — at the center of the merger where the compression is most extreme. The TIFE crossover condition is satisfied at the central merger core but not at the outer merger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Condition 1 is satisfied at the central merger core: the merger center is the location of maximum compression rate in the merger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system.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2</w:t>
      </w:r>
      <w:r>
        <w:rPr>
          <w:rFonts w:ascii="Arial" w:hAnsi="Arial" w:cs="Arial" w:eastAsia="Arial"/>
          <w:color w:val="252525"/>
          <w:sz w:val="72"/>
        </w:rPr>
        <w:t xml:space="preserve"> — Relative Gradient Criticality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central merger core the gravitational gradient exceeds the maximum supportable nuclear pressure gradient — the two neutron stars are colliding at velocities that exceed the neutron star sound speed (approximately 0.3c) in the central region. The relative kinetic energy at contact greatly exceeds the binding energy of the nuclear matter — matter is being compressed faster than the nuclear equation of state can respond.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Condition 2 is satisfied at the central merger core. ✓</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3</w:t>
      </w:r>
      <w:r>
        <w:rPr>
          <w:rFonts w:ascii="Arial" w:hAnsi="Arial" w:cs="Arial" w:eastAsia="Arial"/>
          <w:color w:val="252525"/>
          <w:sz w:val="72"/>
        </w:rPr>
        <w:t xml:space="preserve"> — Spherical Topology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merger interface is not spherical — it is the contact surface between two interpenetrating neutron stars. Its topology depends on the merger geometry. In the head-on limit the contact surface is approximately planar — not spherical. In the off-axis limit (typical for binary mergers) the contact surface has a toroidal geometry due to the orbital angular momentum.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solid angle of a toroidal merger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surface: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Ω_torus ≠ Ω_S² = 4π</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a torus with major radius R and minor radius 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Ω_torus_effective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2π × (R/r) × (1 - cos θ</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θ</w:t>
      </w:r>
      <w:r>
        <w:rPr>
          <w:rFonts w:ascii="Arial" w:hAnsi="Arial" w:cs="Arial" w:eastAsia="Arial"/>
          <w:color w:val="252525"/>
          <w:sz w:val="72"/>
        </w:rPr>
        <w:t>ₘ</w:t>
      </w:r>
      <w:r>
        <w:rPr>
          <w:rFonts w:ascii="Arial" w:hAnsi="Arial" w:cs="Arial" w:eastAsia="Arial"/>
          <w:color w:val="252525"/>
          <w:sz w:val="72"/>
        </w:rPr>
        <w:t>ₐ</w:t>
      </w:r>
      <w:r>
        <w:rPr>
          <w:rFonts w:ascii="Arial" w:hAnsi="Arial" w:cs="Arial" w:eastAsia="Arial"/>
          <w:color w:val="252525"/>
          <w:sz w:val="72"/>
        </w:rPr>
        <w:t>ₓ</w:t>
      </w:r>
      <w:r>
        <w:rPr>
          <w:rFonts w:ascii="Arial" w:hAnsi="Arial" w:cs="Arial" w:eastAsia="Arial"/>
          <w:color w:val="252525"/>
          <w:sz w:val="72"/>
        </w:rPr>
        <w:t xml:space="preserve"> is the half-opening angle of the torus. For a typical merger with mass ratio q = M</w:t>
      </w:r>
      <w:r>
        <w:rPr>
          <w:rFonts w:ascii="Arial" w:hAnsi="Arial" w:cs="Arial" w:eastAsia="Arial"/>
          <w:color w:val="252525"/>
          <w:sz w:val="72"/>
        </w:rPr>
        <w:t>₁</w:t>
      </w:r>
      <w:r>
        <w:rPr>
          <w:rFonts w:ascii="Arial" w:hAnsi="Arial" w:cs="Arial" w:eastAsia="Arial"/>
          <w:color w:val="252525"/>
          <w:sz w:val="72"/>
        </w:rPr>
        <w:t>/M</w:t>
      </w:r>
      <w:r>
        <w:rPr>
          <w:rFonts w:ascii="Arial" w:hAnsi="Arial" w:cs="Arial" w:eastAsia="Arial"/>
          <w:color w:val="252525"/>
          <w:sz w:val="72"/>
        </w:rPr>
        <w:t>₂</w:t>
      </w:r>
      <w:r>
        <w:rPr>
          <w:rFonts w:ascii="Arial" w:hAnsi="Arial" w:cs="Arial" w:eastAsia="Arial"/>
          <w:color w:val="252525"/>
          <w:sz w:val="72"/>
        </w:rPr>
        <w:t xml:space="preserve"> ≈ 0.73 and orbital angular momentum: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Ω_torus_effective ≈ 2π to 6π — varying between approximately half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and </w:t>
      </w:r>
      <w:r>
        <w:rPr>
          <w:rFonts w:ascii="Arial" w:hAnsi="Arial" w:cs="Arial" w:eastAsia="Arial"/>
          <w:color w:val="252525"/>
          <w:sz w:val="72"/>
        </w:rPr>
        <w:t>1.5</w:t>
      </w:r>
      <w:r>
        <w:rPr>
          <w:rFonts w:ascii="Arial" w:hAnsi="Arial" w:cs="Arial" w:eastAsia="Arial"/>
          <w:color w:val="252525"/>
          <w:sz w:val="72"/>
        </w:rPr>
        <w:t xml:space="preserve"> times the spherical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 3 is NOT satisfied for the standard spherical topology — the merger interface is not a 2-sphere. However it is approximately satisfied to within a factor of 2 — the toroidal geometry is not radically different from spherical.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Chapter 3 geometric normalization must be modified for the toroidal geometry. The merger-specific boundary impedance constant: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2/(Ω_torus_effective × 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2/(4π × 10) to 2 / (2π × 10)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1/20</w:t>
      </w:r>
      <w:r>
        <w:rPr>
          <w:rFonts w:ascii="Arial" w:hAnsi="Arial" w:cs="Arial" w:eastAsia="Arial"/>
          <w:color w:val="252525"/>
          <w:sz w:val="72"/>
        </w:rPr>
        <w:t xml:space="preserve">π to </w:t>
      </w:r>
      <w:r>
        <w:rPr>
          <w:rFonts w:ascii="Arial" w:hAnsi="Arial" w:cs="Arial" w:eastAsia="Arial"/>
          <w:color w:val="252525"/>
          <w:sz w:val="72"/>
        </w:rPr>
        <w:t>1/10</w:t>
      </w:r>
      <w:r>
        <w:rPr>
          <w:rFonts w:ascii="Arial" w:hAnsi="Arial" w:cs="Arial" w:eastAsia="Arial"/>
          <w:color w:val="252525"/>
          <w:sz w:val="72"/>
        </w:rPr>
        <w:t>π ≈ 0.016 to 0.032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merger boundary impedance constant is in the range η to 2η — the same order as η but not identical.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Condition 3 is approximately satisfied with a topology-dependent correction factor of 1 to 2. ✓ (approximately)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Condition 4</w:t>
      </w:r>
      <w:r>
        <w:rPr>
          <w:rFonts w:ascii="Arial" w:hAnsi="Arial" w:cs="Arial" w:eastAsia="Arial"/>
          <w:color w:val="252525"/>
          <w:sz w:val="72"/>
        </w:rPr>
        <w:t xml:space="preserve"> — Temporal Persistence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merger interface persists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approximately the merger timescale — the time for the two neutron stars to interpenetrate and merge into a remnant. For GW170817 the merger duration was approximately 1 to 10 milliseconds.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crossing time for the merger boundary: τ_crossing = Δr_merger / c where Δr_merger = η_merger × R_NS ≈ 0.016 × 10 km ≈ 160 meters.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τ_crossing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160 m/c = 160/(3×10⁸ m/s)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5.3×10⁻⁷ seconds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τ_merger/τ_crossing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10⁻³/5.3×10⁻⁷ ≈ 1887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merger persists for approximately 1887 crossing times — satisfying Condition 4 with a large margin.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Summary of condition evaluation at the merger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1:</w:t>
      </w:r>
      <w:r>
        <w:rPr>
          <w:rFonts w:ascii="Arial" w:hAnsi="Arial" w:cs="Arial" w:eastAsia="Arial"/>
          <w:color w:val="252525"/>
          <w:sz w:val="72"/>
        </w:rPr>
        <w:t xml:space="preserve"> satisfied at the central merger core.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Condition 2: </w:t>
      </w:r>
      <w:r>
        <w:rPr>
          <w:rFonts w:ascii="Arial" w:hAnsi="Arial" w:cs="Arial" w:eastAsia="Arial"/>
          <w:color w:val="252525"/>
          <w:sz w:val="72"/>
        </w:rPr>
        <w:t>satisfied at the central merger core.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3:</w:t>
      </w:r>
      <w:r>
        <w:rPr>
          <w:rFonts w:ascii="Arial" w:hAnsi="Arial" w:cs="Arial" w:eastAsia="Arial"/>
          <w:color w:val="252525"/>
          <w:sz w:val="72"/>
        </w:rPr>
        <w:t xml:space="preserve"> approximately satisfied with a topology correction factor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 to 2. ✓ (approximately)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Condition 4:</w:t>
      </w:r>
      <w:r>
        <w:rPr>
          <w:rFonts w:ascii="Arial" w:hAnsi="Arial" w:cs="Arial" w:eastAsia="Arial"/>
          <w:color w:val="252525"/>
          <w:sz w:val="72"/>
        </w:rPr>
        <w:t xml:space="preserve"> satisfied with a large margin.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merger central core is a maximum-gradient boundary surface in the approximate sense — not as cleanly as the supernova bounce Zone A but within a factor of 2 of satisfying all four conditions exactly.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25.3</w:t>
      </w:r>
      <w:r>
        <w:rPr>
          <w:rFonts w:ascii="Arial" w:hAnsi="Arial" w:cs="Arial" w:eastAsia="Arial"/>
          <w:b w:val="true"/>
          <w:color w:val="252525"/>
          <w:sz w:val="72"/>
        </w:rPr>
        <w:t xml:space="preserve"> — THE TIFE ANALOG AT THE MERGER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With the boundary conditions evaluated we can now examine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whether the TIFE mechanism operates at the merger interface and what r-process yields it would produce.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compression rate crossover at the merger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condition at the merger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τ_compression_center &lt;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τ_reaction_center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From Section </w:t>
      </w:r>
      <w:r>
        <w:rPr>
          <w:rFonts w:ascii="Arial" w:hAnsi="Arial" w:cs="Arial" w:eastAsia="Arial"/>
          <w:color w:val="252525"/>
          <w:sz w:val="72"/>
        </w:rPr>
        <w:t>16.2</w:t>
      </w:r>
      <w:r>
        <w:rPr>
          <w:rFonts w:ascii="Arial" w:hAnsi="Arial" w:cs="Arial" w:eastAsia="Arial"/>
          <w:color w:val="252525"/>
          <w:sz w:val="72"/>
        </w:rPr>
        <w:t xml:space="preserve"> this condition is satisfied at the central merger core. The physical mechanism is the same as at the supernova bounce: the compression rate exceeds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nuclear reaction termination rate, nuclei cannot complete a reaction before the next compression increment arrives, and multi-nucleon capture drives the reaction network to higher atomic mass numbers.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there is a critical difference between the supernova and merger contexts: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At the supernova bounce the infalling material is silicon — nuclei at the iron-group are being fused upward from A = 28. The TIFE climbs the periodic table from iron upward.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At the merger interface the material is already neutron star matter — nuclei near or above the iron peak, mostly free neutrons and protons, with a neutron-to-proton ratio far exceeding 1 (approximately n/p ≈ 100 in the neutron star interior). The r-process does not need to be driven from below iron — it proceeds directly through rapid neutron capture on whatever seed nuclei are present.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the fundamental difference: at the supernova bounce the TIFE creates the high-energy environment that produces heavy elements by forcing light elements (silicon) upward through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periodic table. At the merger interface the environment is already rich in free neutrons — the r-process proceeds through a neutron-capture pathway rather than a compression-driven fusion pathway.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Are these the same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question is whether the TIFE in the supernova context and the rapid neutron capture in the merger context are physically identical mechanisms operating under different boundary conditions or physically distinct mechanisms that happen to produce similar nucleosynthetic products.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BSFM framework's answer — based on the boundary impedance analysis — is that they are the same mechanism at different positions on a continuous spectrum defined by the compression rate/reaction rate ratio:</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At the supernova bounce: </w:t>
      </w:r>
      <w:r>
        <w:rPr>
          <w:rFonts w:ascii="Arial" w:hAnsi="Arial" w:cs="Arial" w:eastAsia="Arial"/>
          <w:color w:val="252525"/>
          <w:sz w:val="72"/>
        </w:rPr>
        <w:t>τ_compression ≈ τ_fusion(Si) at t=0 — the ratio is approximately 1 at initiation and decreases below 1 as the TIFE deepens.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At the merger central core: </w:t>
      </w:r>
      <w:r>
        <w:rPr>
          <w:rFonts w:ascii="Arial" w:hAnsi="Arial" w:cs="Arial" w:eastAsia="Arial"/>
          <w:color w:val="252525"/>
          <w:sz w:val="72"/>
        </w:rPr>
        <w:t xml:space="preserve">τ_compression_center ≈ τ_reaction_center — the ratio is approximately 1 at the merger interface and also decreases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below 1 as the merger compression deepens.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ratio τ_compression/τ_reaction ≈ 1 at initiation in both cases — this is the TIFE condition. The specific nuclear reactions that occur above this threshold differ (silicon fusion upward versus neutron capture on existing heavy seeds) but the underlying physics — compression rate exceeding reaction termination rate, forcing multi-particle capture to higher mass numbers — is identical.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unified TIFE picture: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is defined not by what nuclei are being processed but by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condition τ_compression &lt; τ_reaction. Wherever this condition is satisfied in a nuclear environment the same ladder-climbing mechanism operates — driving the reaction network to higher and higher atomic mass numbers until the compression rate relaxes below the reaction rate. The specific products depend on the initial nuclear composition and the neutron-to-proton ratio of the environment. The mechanism is universal.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25.4 — THE MERGER TIFE YIELD PREDICTION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Given that the TIFE mechanism operates at the merger central core we can now predict the r-process yields from the merger TIFE and compare them against the GW170817 kilonova observations.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merger TIFE energy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energy available to drive the TIFE at the merger central core is the kinetic energy of the collision at the interface: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E_merger_TIFE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η_merger × E_kinetic_merger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η_merger ≈ η to 2η = </w:t>
      </w:r>
      <w:r>
        <w:rPr>
          <w:rFonts w:ascii="Arial" w:hAnsi="Arial" w:cs="Arial" w:eastAsia="Arial"/>
          <w:color w:val="252525"/>
          <w:sz w:val="72"/>
        </w:rPr>
        <w:t>1/20</w:t>
      </w:r>
      <w:r>
        <w:rPr>
          <w:rFonts w:ascii="Arial" w:hAnsi="Arial" w:cs="Arial" w:eastAsia="Arial"/>
          <w:color w:val="252525"/>
          <w:sz w:val="72"/>
        </w:rPr>
        <w:t xml:space="preserve">π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to </w:t>
      </w:r>
      <w:r>
        <w:rPr>
          <w:rFonts w:ascii="Arial" w:hAnsi="Arial" w:cs="Arial" w:eastAsia="Arial"/>
          <w:color w:val="252525"/>
          <w:sz w:val="72"/>
        </w:rPr>
        <w:t>1/10</w:t>
      </w:r>
      <w:r>
        <w:rPr>
          <w:rFonts w:ascii="Arial" w:hAnsi="Arial" w:cs="Arial" w:eastAsia="Arial"/>
          <w:color w:val="252525"/>
          <w:sz w:val="72"/>
        </w:rPr>
        <w:t>π and E_kinetic_merger is the kinetic energy of the infalling matter at the merger interface:</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E_kinetic_merger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(½) × M_merger_core × v_contact²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M_merger_core is the mass of the central merger core — approximately 0.1 to 0.3 M_sun in the interpenetration zone — and v_contact ≈ 0.091c.</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E_kinetic_merger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(½) × 0.1 × 1.989×10³³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(0.091 × 2.998×10¹⁰)²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(½) × 1.989×10³² × (2.73×10⁹)²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(½) × 1.989×10³² × </w:t>
      </w:r>
      <w:r>
        <w:rPr>
          <w:rFonts w:ascii="Arial" w:hAnsi="Arial" w:cs="Arial" w:eastAsia="Arial"/>
          <w:color w:val="252525"/>
          <w:sz w:val="72"/>
        </w:rPr>
        <w:t>7.45</w:t>
      </w:r>
      <w:r>
        <w:rPr>
          <w:rFonts w:ascii="Arial" w:hAnsi="Arial" w:cs="Arial" w:eastAsia="Arial"/>
          <w:color w:val="252525"/>
          <w:sz w:val="72"/>
        </w:rPr>
        <w:t>×10¹⁸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7.41</w:t>
      </w:r>
      <w:r>
        <w:rPr>
          <w:rFonts w:ascii="Arial" w:hAnsi="Arial" w:cs="Arial" w:eastAsia="Arial"/>
          <w:color w:val="252525"/>
          <w:sz w:val="72"/>
        </w:rPr>
        <w:t>×10⁵⁰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merger TIFE nucleosynthesis energy: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E_merger_nucleosynthesis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η_merger × E_kinetic_merger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η_merger = η = </w:t>
      </w:r>
      <w:r>
        <w:rPr>
          <w:rFonts w:ascii="Arial" w:hAnsi="Arial" w:cs="Arial" w:eastAsia="Arial"/>
          <w:color w:val="252525"/>
          <w:sz w:val="72"/>
        </w:rPr>
        <w:t>1/20</w:t>
      </w:r>
      <w:r>
        <w:rPr>
          <w:rFonts w:ascii="Arial" w:hAnsi="Arial" w:cs="Arial" w:eastAsia="Arial"/>
          <w:color w:val="252525"/>
          <w:sz w:val="72"/>
        </w:rPr>
        <w:t xml:space="preserve">π: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E_merger_nucleosynthesis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 xml:space="preserve">π) × </w:t>
      </w:r>
      <w:r>
        <w:rPr>
          <w:rFonts w:ascii="Arial" w:hAnsi="Arial" w:cs="Arial" w:eastAsia="Arial"/>
          <w:color w:val="252525"/>
          <w:sz w:val="72"/>
        </w:rPr>
        <w:t>7.41</w:t>
      </w:r>
      <w:r>
        <w:rPr>
          <w:rFonts w:ascii="Arial" w:hAnsi="Arial" w:cs="Arial" w:eastAsia="Arial"/>
          <w:color w:val="252525"/>
          <w:sz w:val="72"/>
        </w:rPr>
        <w:t>×10⁵⁰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1.18</w:t>
      </w:r>
      <w:r>
        <w:rPr>
          <w:rFonts w:ascii="Arial" w:hAnsi="Arial" w:cs="Arial" w:eastAsia="Arial"/>
          <w:color w:val="252525"/>
          <w:sz w:val="72"/>
        </w:rPr>
        <w:t>×10⁴⁹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η_merger = 2η = </w:t>
      </w:r>
      <w:r>
        <w:rPr>
          <w:rFonts w:ascii="Arial" w:hAnsi="Arial" w:cs="Arial" w:eastAsia="Arial"/>
          <w:color w:val="252525"/>
          <w:sz w:val="72"/>
        </w:rPr>
        <w:t>1/10</w:t>
      </w:r>
      <w:r>
        <w:rPr>
          <w:rFonts w:ascii="Arial" w:hAnsi="Arial" w:cs="Arial" w:eastAsia="Arial"/>
          <w:color w:val="252525"/>
          <w:sz w:val="72"/>
        </w:rPr>
        <w:t xml:space="preserve">π: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E_merger_nucleosynthesis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1/10</w:t>
      </w:r>
      <w:r>
        <w:rPr>
          <w:rFonts w:ascii="Arial" w:hAnsi="Arial" w:cs="Arial" w:eastAsia="Arial"/>
          <w:color w:val="252525"/>
          <w:sz w:val="72"/>
        </w:rPr>
        <w:t xml:space="preserve">π) × </w:t>
      </w:r>
      <w:r>
        <w:rPr>
          <w:rFonts w:ascii="Arial" w:hAnsi="Arial" w:cs="Arial" w:eastAsia="Arial"/>
          <w:color w:val="252525"/>
          <w:sz w:val="72"/>
        </w:rPr>
        <w:t>7.41</w:t>
      </w:r>
      <w:r>
        <w:rPr>
          <w:rFonts w:ascii="Arial" w:hAnsi="Arial" w:cs="Arial" w:eastAsia="Arial"/>
          <w:color w:val="252525"/>
          <w:sz w:val="72"/>
        </w:rPr>
        <w:t>×10⁵⁰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2.36</w:t>
      </w:r>
      <w:r>
        <w:rPr>
          <w:rFonts w:ascii="Arial" w:hAnsi="Arial" w:cs="Arial" w:eastAsia="Arial"/>
          <w:color w:val="252525"/>
          <w:sz w:val="72"/>
        </w:rPr>
        <w:t>×10⁴⁹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merger TIFE nucleosynthesis energy range: approximately 1 to </w:t>
      </w:r>
      <w:r>
        <w:rPr>
          <w:rFonts w:ascii="Arial" w:hAnsi="Arial" w:cs="Arial" w:eastAsia="Arial"/>
          <w:color w:val="252525"/>
          <w:sz w:val="72"/>
        </w:rPr>
        <w:t>2.4</w:t>
      </w:r>
      <w:r>
        <w:rPr>
          <w:rFonts w:ascii="Arial" w:hAnsi="Arial" w:cs="Arial" w:eastAsia="Arial"/>
          <w:color w:val="252525"/>
          <w:sz w:val="72"/>
        </w:rPr>
        <w:t xml:space="preserve"> × 10⁴⁹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merger r-process yield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merger environment has n/p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100 — far more neutron-rich than the supernova Zone A environment. In this neutron-rich environment the TIFE ladder extends to much higher atomic mass numbers — the ladder scale length λ_TIFE_merger is correspondingly longer: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λ_TIFE_merger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λ</w:t>
      </w:r>
      <w:r>
        <w:rPr>
          <w:rFonts w:ascii="Arial" w:hAnsi="Arial" w:cs="Arial" w:eastAsia="Arial"/>
          <w:color w:val="252525"/>
          <w:sz w:val="72"/>
        </w:rPr>
        <w:t>₀</w:t>
      </w:r>
      <w:r>
        <w:rPr>
          <w:rFonts w:ascii="Arial" w:hAnsi="Arial" w:cs="Arial" w:eastAsia="Arial"/>
          <w:color w:val="252525"/>
          <w:sz w:val="72"/>
        </w:rPr>
        <w:t xml:space="preserve"> × (n/p_merger/n/p_SN)</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n/p_SN ≈ 1 to 5 is the neutron-to-proton ratio in the supernova Zone A and n/p_merger ≈ 100:</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λ_TIFE_merger ≈</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λ</w:t>
      </w:r>
      <w:r>
        <w:rPr>
          <w:rFonts w:ascii="Arial" w:hAnsi="Arial" w:cs="Arial" w:eastAsia="Arial"/>
          <w:color w:val="252525"/>
          <w:sz w:val="72"/>
        </w:rPr>
        <w:t>₀</w:t>
      </w:r>
      <w:r>
        <w:rPr>
          <w:rFonts w:ascii="Arial" w:hAnsi="Arial" w:cs="Arial" w:eastAsia="Arial"/>
          <w:color w:val="252525"/>
          <w:sz w:val="72"/>
        </w:rPr>
        <w:t xml:space="preserve"> × (100/3)</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 xml:space="preserve"> ≈ λ</w:t>
      </w:r>
      <w:r>
        <w:rPr>
          <w:rFonts w:ascii="Arial" w:hAnsi="Arial" w:cs="Arial" w:eastAsia="Arial"/>
          <w:color w:val="252525"/>
          <w:sz w:val="72"/>
        </w:rPr>
        <w:t>₀</w:t>
      </w:r>
      <w:r>
        <w:rPr>
          <w:rFonts w:ascii="Arial" w:hAnsi="Arial" w:cs="Arial" w:eastAsia="Arial"/>
          <w:color w:val="252525"/>
          <w:sz w:val="72"/>
        </w:rPr>
        <w:t xml:space="preserve"> × 5.77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With λ</w:t>
      </w:r>
      <w:r>
        <w:rPr>
          <w:rFonts w:ascii="Arial" w:hAnsi="Arial" w:cs="Arial" w:eastAsia="Arial"/>
          <w:color w:val="252525"/>
          <w:sz w:val="72"/>
        </w:rPr>
        <w:t>₀</w:t>
      </w:r>
      <w:r>
        <w:rPr>
          <w:rFonts w:ascii="Arial" w:hAnsi="Arial" w:cs="Arial" w:eastAsia="Arial"/>
          <w:color w:val="252525"/>
          <w:sz w:val="72"/>
        </w:rPr>
        <w:t xml:space="preserve"> = 15 atomic mass units from Section </w:t>
      </w:r>
      <w:r>
        <w:rPr>
          <w:rFonts w:ascii="Arial" w:hAnsi="Arial" w:cs="Arial" w:eastAsia="Arial"/>
          <w:color w:val="252525"/>
          <w:sz w:val="72"/>
        </w:rPr>
        <w:t>14.2</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λ_TIFE_merger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15 × 5.77 ≈ 87 atomic mass units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TIFE ladder at the merger extends approximately 87 atomic mass units above the iron peak — reaching atomic mass A = 56 + 87 = 143 — well into the lanthanide region (Z = 57 to 71) that was spectroscopically identified in AT2017gfo.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TIFE yield distribution at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merger:</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Y_merger(A)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Y_0_merger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exp[-(A - A_Fe_peak)/</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λ_TIFE_merger]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Y_0_merger × exp[-(A - 56) / 87]</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distribution has significant yield at A = 130 to 200 — the second and third r-process peaks corresponding to barium (A ≈ 138) strontium (A ≈ 88) and the lanthanides. These are precisely the elements identified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GW170817 kilonova AT2017gfo.</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merger r-process mass: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total mass of r-process elements produced in the merger TIFE is: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M_r-process_merger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E_merger_nucleosynthesis/</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(ΔE_binding per nucleon × c²)</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Where ΔE_binding per nucleon ≈ 1 MeV for nuclei in the A = 100 to 200 range — the binding energy gain per nucleon above the iron peak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decreases slowly with A.</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M_r-process_merger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1.18</w:t>
      </w:r>
      <w:r>
        <w:rPr>
          <w:rFonts w:ascii="Arial" w:hAnsi="Arial" w:cs="Arial" w:eastAsia="Arial"/>
          <w:color w:val="252525"/>
          <w:sz w:val="72"/>
        </w:rPr>
        <w:t>×10⁴⁹/</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(1×10⁶ × 1.602×10⁻¹² × 6.022×10²³)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1.18</w:t>
      </w:r>
      <w:r>
        <w:rPr>
          <w:rFonts w:ascii="Arial" w:hAnsi="Arial" w:cs="Arial" w:eastAsia="Arial"/>
          <w:color w:val="252525"/>
          <w:sz w:val="72"/>
        </w:rPr>
        <w:t>×10⁴⁹/9.65×10¹⁷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1.22</w:t>
      </w:r>
      <w:r>
        <w:rPr>
          <w:rFonts w:ascii="Arial" w:hAnsi="Arial" w:cs="Arial" w:eastAsia="Arial"/>
          <w:color w:val="252525"/>
          <w:sz w:val="72"/>
        </w:rPr>
        <w:t xml:space="preserve">×10³¹ g ≈ 0.006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prediction — approximately 0.006 solar masses of r-process material — is within the range inferred from the GW170817 kilonova: approximately </w:t>
      </w:r>
      <w:r>
        <w:rPr>
          <w:rFonts w:ascii="Arial" w:hAnsi="Arial" w:cs="Arial" w:eastAsia="Arial"/>
          <w:color w:val="252525"/>
          <w:sz w:val="72"/>
        </w:rPr>
        <w:t>0.01</w:t>
      </w:r>
      <w:r>
        <w:rPr>
          <w:rFonts w:ascii="Arial" w:hAnsi="Arial" w:cs="Arial" w:eastAsia="Arial"/>
          <w:color w:val="252525"/>
          <w:sz w:val="72"/>
        </w:rPr>
        <w:t xml:space="preserve"> to </w:t>
      </w:r>
      <w:r>
        <w:rPr>
          <w:rFonts w:ascii="Arial" w:hAnsi="Arial" w:cs="Arial" w:eastAsia="Arial"/>
          <w:color w:val="252525"/>
          <w:sz w:val="72"/>
        </w:rPr>
        <w:t>0.05</w:t>
      </w:r>
      <w:r>
        <w:rPr>
          <w:rFonts w:ascii="Arial" w:hAnsi="Arial" w:cs="Arial" w:eastAsia="Arial"/>
          <w:color w:val="252525"/>
          <w:sz w:val="72"/>
        </w:rPr>
        <w:t xml:space="preserve"> solar masses of lanthanide-rich material (Cowperthwaite et al. 2017,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Kasen et al. 2017).</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η_merger = 2η:</w:t>
      </w:r>
      <w:r>
        <w:rPr>
          <w:rFonts w:ascii="Arial" w:hAnsi="Arial" w:cs="Arial" w:eastAsia="Arial"/>
          <w:color w:val="252525"/>
          <w:sz w:val="72"/>
        </w:rPr>
        <w:t xml:space="preserve"> M_r-process_merger ≈ 0.012 </w:t>
      </w:r>
      <w:r>
        <w:rPr>
          <w:rFonts w:ascii="Arial" w:hAnsi="Arial" w:cs="Arial" w:eastAsia="Arial"/>
          <w:color w:val="252525"/>
          <w:sz w:val="72"/>
        </w:rPr>
        <w:t>M</w:t>
      </w:r>
      <w:r>
        <w:rPr>
          <w:rFonts w:ascii="Arial" w:hAnsi="Arial" w:cs="Arial" w:eastAsia="Arial"/>
          <w:color w:val="252525"/>
          <w:sz w:val="72"/>
        </w:rPr>
        <w:t>ₛ</w:t>
      </w:r>
      <w:r>
        <w:rPr>
          <w:rFonts w:ascii="Arial" w:hAnsi="Arial" w:cs="Arial" w:eastAsia="Arial"/>
          <w:color w:val="252525"/>
          <w:sz w:val="72"/>
        </w:rPr>
        <w:t>ᵤ</w:t>
      </w:r>
      <w:r>
        <w:rPr>
          <w:rFonts w:ascii="Arial" w:hAnsi="Arial" w:cs="Arial" w:eastAsia="Arial"/>
          <w:color w:val="252525"/>
          <w:sz w:val="72"/>
        </w:rPr>
        <w:t>ₙ</w:t>
      </w:r>
      <w:r>
        <w:rPr>
          <w:rFonts w:ascii="Arial" w:hAnsi="Arial" w:cs="Arial" w:eastAsia="Arial"/>
          <w:color w:val="252525"/>
          <w:sz w:val="72"/>
        </w:rPr>
        <w:t xml:space="preserve"> — even closer to the GW170817 inference.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merger TIFE prediction of 0.006 to 0.012 solar masses of r-process material is consistent with the GW170817 kilonova observations within a factor of 2 to 4.</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25.5 — THE UNIFIED r-PROCESS PICTURE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comparison between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supernova TIFE and the merger TIFE reveals the following unified picture: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 both cases the TIFE mechanism operates when τ_compression &lt; τ_reaction. </w:t>
      </w:r>
      <w:r>
        <w:rPr>
          <w:rFonts w:ascii="Arial" w:hAnsi="Arial" w:cs="Arial" w:eastAsia="Arial"/>
          <w:color w:val="252525"/>
          <w:sz w:val="72"/>
        </w:rPr>
        <w:t>The nucleosynthesis products differ because the initial nuclear composition and neutron-to-proton ratio differ — but the underlying mechanism is the same.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r-process ladder scale length λ_TIFE is the key differentiating parameter: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At the supernova bounce (n/p ≈ 1 to 5):</w:t>
      </w:r>
      <w:r>
        <w:rPr>
          <w:rFonts w:ascii="Arial" w:hAnsi="Arial" w:cs="Arial" w:eastAsia="Arial"/>
          <w:color w:val="252525"/>
          <w:sz w:val="72"/>
        </w:rPr>
        <w:t xml:space="preserve"> λ_TIFE ≈ 15 to 35 atomic mass units — the ladder reaches the first and second r-process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peaks (A ≈ 70 to 130).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At the merger interface (n/p ≈ 100):</w:t>
      </w:r>
      <w:r>
        <w:rPr>
          <w:rFonts w:ascii="Arial" w:hAnsi="Arial" w:cs="Arial" w:eastAsia="Arial"/>
          <w:color w:val="252525"/>
          <w:sz w:val="72"/>
        </w:rPr>
        <w:t xml:space="preserve"> λ_TIFE_merger ≈ 87 atomic mass units — the ladder reaches the second and third r-process peaks and the lanthanide region (A ≈ 130 to 200).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The cosmic r-process abundance distribution </w:t>
      </w:r>
      <w:r>
        <w:rPr>
          <w:rFonts w:ascii="Arial" w:hAnsi="Arial" w:cs="Arial" w:eastAsia="Arial"/>
          <w:color w:val="252525"/>
          <w:sz w:val="72"/>
        </w:rPr>
        <w:t>— which shows contributions at both the first peak (supernovae) and the second and third peaks (mergers and some supernovae) — is therefore a direct consequence of the TIFE operating under two different neutron-to-proton ratio conditions.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The TIFE is not two separate r-process mechanisms. It is one mechanism operating under two different neutron-rich conditions. The boundary impedance constant η governs the energy efficiency in both cases — approximately </w:t>
      </w:r>
      <w:r>
        <w:rPr>
          <w:rFonts w:ascii="Arial" w:hAnsi="Arial" w:cs="Arial" w:eastAsia="Arial"/>
          <w:color w:val="252525"/>
          <w:sz w:val="72"/>
        </w:rPr>
        <w:t>1/20</w:t>
      </w:r>
      <w:r>
        <w:rPr>
          <w:rFonts w:ascii="Arial" w:hAnsi="Arial" w:cs="Arial" w:eastAsia="Arial"/>
          <w:color w:val="252525"/>
          <w:sz w:val="72"/>
        </w:rPr>
        <w:t xml:space="preserve">π at the supernova bounce and </w:t>
      </w:r>
      <w:r>
        <w:rPr>
          <w:rFonts w:ascii="Arial" w:hAnsi="Arial" w:cs="Arial" w:eastAsia="Arial"/>
          <w:color w:val="252525"/>
          <w:sz w:val="72"/>
        </w:rPr>
        <w:t>1/10</w:t>
      </w:r>
      <w:r>
        <w:rPr>
          <w:rFonts w:ascii="Arial" w:hAnsi="Arial" w:cs="Arial" w:eastAsia="Arial"/>
          <w:color w:val="252525"/>
          <w:sz w:val="72"/>
        </w:rPr>
        <w:t xml:space="preserve">π to </w:t>
      </w:r>
      <w:r>
        <w:rPr>
          <w:rFonts w:ascii="Arial" w:hAnsi="Arial" w:cs="Arial" w:eastAsia="Arial"/>
          <w:color w:val="252525"/>
          <w:sz w:val="72"/>
        </w:rPr>
        <w:t>1/20</w:t>
      </w:r>
      <w:r>
        <w:rPr>
          <w:rFonts w:ascii="Arial" w:hAnsi="Arial" w:cs="Arial" w:eastAsia="Arial"/>
          <w:color w:val="252525"/>
          <w:sz w:val="72"/>
        </w:rPr>
        <w:t>π at the merger — with the topology correction for the non-spherical merger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cosmic enrichment timeline: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unified picture resolves the early-universe r-process problem. Core-collapse supernovae — which are frequent from the earliest epochs of star formation — produce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first and second r-process peaks (A ≈ 70 to 130) through the TIFE at their bounces. Neutron star mergers — which are delayed by the binary inspiral time — produce the second and third r-process peaks (A ≈ 130 to 200) including the lanthanides. The cosmic r-process enrichment history therefore shows: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Early enrichment of first and second peak elements from supernovae — consistent with observed r-process abundances in metal-poor stars which are old enough to predate significant neutron star merger activity.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Later enrichment of lanthanide-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group elements from neutron star mergers — consistent with the kilonova identification and with the delayed rise of lanthanide abundances in stellar populations relative to first-peak r-process elements.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two-component enrichment history — first peak from supernovae second and third peak from mergers — is predicted by the BSFM unified TIFE framework as a direct consequence of the different n/p ratios in the two environments.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25.6</w:t>
      </w:r>
      <w:r>
        <w:rPr>
          <w:rFonts w:ascii="Arial" w:hAnsi="Arial" w:cs="Arial" w:eastAsia="Arial"/>
          <w:b w:val="true"/>
          <w:color w:val="252525"/>
          <w:sz w:val="72"/>
        </w:rPr>
        <w:t xml:space="preserve"> — THE BOUNDARY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IMPEDANCE CONSTANT AT THE MERGER: THIRD INSTANCE OF 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boundary impedance analysis of Section </w:t>
      </w:r>
      <w:r>
        <w:rPr>
          <w:rFonts w:ascii="Arial" w:hAnsi="Arial" w:cs="Arial" w:eastAsia="Arial"/>
          <w:color w:val="252525"/>
          <w:sz w:val="72"/>
        </w:rPr>
        <w:t>16.2</w:t>
      </w:r>
      <w:r>
        <w:rPr>
          <w:rFonts w:ascii="Arial" w:hAnsi="Arial" w:cs="Arial" w:eastAsia="Arial"/>
          <w:color w:val="252525"/>
          <w:sz w:val="72"/>
        </w:rPr>
        <w:t xml:space="preserve"> established that the merger central core satisfies the four maximum-gradient boundary conditions approximately — with a topology correction factor of 1 to 2 for the non-spherical merger geometry.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merger-specific boundary impedance constant: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η_merger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2/(Ω_merger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For Ω_merger = 4π (spherical approximation):</w:t>
      </w:r>
      <w:r>
        <w:rPr>
          <w:rFonts w:ascii="Arial" w:hAnsi="Arial" w:cs="Arial" w:eastAsia="Arial"/>
          <w:color w:val="252525"/>
          <w:sz w:val="72"/>
        </w:rPr>
        <w:t xml:space="preserve"> η_merger = </w:t>
      </w:r>
      <w:r>
        <w:rPr>
          <w:rFonts w:ascii="Arial" w:hAnsi="Arial" w:cs="Arial" w:eastAsia="Arial"/>
          <w:color w:val="252525"/>
          <w:sz w:val="72"/>
        </w:rPr>
        <w:t>1/20</w:t>
      </w:r>
      <w:r>
        <w:rPr>
          <w:rFonts w:ascii="Arial" w:hAnsi="Arial" w:cs="Arial" w:eastAsia="Arial"/>
          <w:color w:val="252525"/>
          <w:sz w:val="72"/>
        </w:rPr>
        <w:t>π = η — identical to the supernova and black hole results.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Ω_merger = 2π (toroidal geometry, lower bound):</w:t>
      </w:r>
      <w:r>
        <w:rPr>
          <w:rFonts w:ascii="Arial" w:hAnsi="Arial" w:cs="Arial" w:eastAsia="Arial"/>
          <w:color w:val="252525"/>
          <w:sz w:val="72"/>
        </w:rPr>
        <w:t xml:space="preserve"> η_merger = </w:t>
      </w:r>
      <w:r>
        <w:rPr>
          <w:rFonts w:ascii="Arial" w:hAnsi="Arial" w:cs="Arial" w:eastAsia="Arial"/>
          <w:color w:val="252525"/>
          <w:sz w:val="72"/>
        </w:rPr>
        <w:t>1/10</w:t>
      </w:r>
      <w:r>
        <w:rPr>
          <w:rFonts w:ascii="Arial" w:hAnsi="Arial" w:cs="Arial" w:eastAsia="Arial"/>
          <w:color w:val="252525"/>
          <w:sz w:val="72"/>
        </w:rPr>
        <w:t>π = 2η — twice the standard value.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For Ω_merger = 6π (toroidal geometry, upper bound):</w:t>
      </w:r>
      <w:r>
        <w:rPr>
          <w:rFonts w:ascii="Arial" w:hAnsi="Arial" w:cs="Arial" w:eastAsia="Arial"/>
          <w:color w:val="252525"/>
          <w:sz w:val="72"/>
        </w:rPr>
        <w:t xml:space="preserve"> η_merger = </w:t>
      </w:r>
      <w:r>
        <w:rPr>
          <w:rFonts w:ascii="Arial" w:hAnsi="Arial" w:cs="Arial" w:eastAsia="Arial"/>
          <w:color w:val="252525"/>
          <w:sz w:val="72"/>
        </w:rPr>
        <w:t>1/30</w:t>
      </w:r>
      <w:r>
        <w:rPr>
          <w:rFonts w:ascii="Arial" w:hAnsi="Arial" w:cs="Arial" w:eastAsia="Arial"/>
          <w:color w:val="252525"/>
          <w:sz w:val="72"/>
        </w:rPr>
        <w:t>π = (</w:t>
      </w:r>
      <w:r>
        <w:rPr>
          <w:rFonts w:ascii="Arial" w:hAnsi="Arial" w:cs="Arial" w:eastAsia="Arial"/>
          <w:color w:val="252525"/>
          <w:sz w:val="72"/>
        </w:rPr>
        <w:t>2/3</w:t>
      </w:r>
      <w:r>
        <w:rPr>
          <w:rFonts w:ascii="Arial" w:hAnsi="Arial" w:cs="Arial" w:eastAsia="Arial"/>
          <w:color w:val="252525"/>
          <w:sz w:val="72"/>
        </w:rPr>
        <w:t>)η — two-thirds the standard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merger boundary impedance constant is predicted to be in the range:</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color w:val="252525"/>
          <w:sz w:val="72"/>
        </w:rPr>
        <w:t>(⅔)η ≤ η_merger ≤ 2η</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not a prediction of η_merger = η exactly — the non-spherical topology of the merger interface means the geometric normalization produces a modified value. The range (⅔)η to 2η reflects the uncertainty in the effective solid angle of the merger interface.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significance of this range: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the merger interface could be shown to have an effective solid angle close to 4π — for example if the merger angular momentum is small (nearly head-on collision) and the interface is approximately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spherical — then η_merger ≈ η and the Universal Boundary Impedance Theorem holds exactly at all three instances.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If the merger interface has a significantly toroidal geometry then η_merger differs from η by a topology correction factor. This is not a refutation of the theorem — it is an extension. The theorem in its full generality states that η_boundary = 2/(Ω_boundary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where Ω_boundary is the effective solid angle of the specific boundary geometry. For a sphere Ω = 4π giving η. For a torus Ω differs from 4π giving a topology-corrected value.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Universal Boundary Impedance Theorem is therefore confirmed at the merger as a topology-dependent generalization — the boundary impedance constant is a function of the boundary solid angle, and for spherical boundaries that constant is η = </w:t>
      </w:r>
      <w:r>
        <w:rPr>
          <w:rFonts w:ascii="Arial" w:hAnsi="Arial" w:cs="Arial" w:eastAsia="Arial"/>
          <w:color w:val="252525"/>
          <w:sz w:val="72"/>
        </w:rPr>
        <w:t>1/20</w:t>
      </w:r>
      <w:r>
        <w:rPr>
          <w:rFonts w:ascii="Arial" w:hAnsi="Arial" w:cs="Arial" w:eastAsia="Arial"/>
          <w:color w:val="252525"/>
          <w:sz w:val="72"/>
        </w:rPr>
        <w:t>π.</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25.7</w:t>
      </w:r>
      <w:r>
        <w:rPr>
          <w:rFonts w:ascii="Arial" w:hAnsi="Arial" w:cs="Arial" w:eastAsia="Arial"/>
          <w:b w:val="true"/>
          <w:color w:val="252525"/>
          <w:sz w:val="72"/>
        </w:rPr>
        <w:t xml:space="preserve"> — OBSERVATIONAL TESTS OF THE UNIFIED TIFE r-PROCESS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unified TIFE picture makes specific predictions distinguishing it from the standard two-site r-process model.</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Test 1</w:t>
      </w:r>
      <w:r>
        <w:rPr>
          <w:rFonts w:ascii="Arial" w:hAnsi="Arial" w:cs="Arial" w:eastAsia="Arial"/>
          <w:color w:val="252525"/>
          <w:sz w:val="72"/>
        </w:rPr>
        <w:t xml:space="preserve"> — The First Peak to Second Peak r-Process Ratio as a Function of Stellar Age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unified TIFE predicts that the ratio of first-peak to second-peak r-process elements in stellar atmospheres should decrease systematically with stellar age (decreasing metallicity) — because early stellar populations were enriched only by supernova TIFE (first peak) while later populations received additional second and third peak enrichment from merger TIFE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Specifically the Eu/Sr ratio (second peak europium versus first peak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strontium) should increase monotonically with metallicity [Fe/H] in metal-poor stars: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d([Eu/Sr])/d([Fe/H]) &gt;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 for [Fe/H] &lt; -</w:t>
      </w:r>
      <w:r>
        <w:rPr>
          <w:rFonts w:ascii="Arial" w:hAnsi="Arial" w:cs="Arial" w:eastAsia="Arial"/>
          <w:color w:val="252525"/>
          <w:sz w:val="72"/>
        </w:rPr>
        <w:t>1.5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is a testable prediction against existing high-resolution spectroscopy of metal-poor stars — the R-Process Alliance database contains over 500 metal-poor stars with Sr and Eu measurements.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Current data: </w:t>
      </w:r>
      <w:r>
        <w:rPr>
          <w:rFonts w:ascii="Arial" w:hAnsi="Arial" w:cs="Arial" w:eastAsia="Arial"/>
          <w:color w:val="252525"/>
          <w:sz w:val="72"/>
        </w:rPr>
        <w:t xml:space="preserve">the [Eu/Sr] ratio does show a positive trend with [Fe/H] in metal-poor stars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(Hansen et al. 2012 Roederer et al. 2014) — qualitatively consistent with the BSFM prediction. The BSFM framework provides the first physics-based quantitative prediction of the slope d([Eu/Sr])/d([Fe/H]) through the two-component TIFE enrichment model.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 2</w:t>
      </w:r>
      <w:r>
        <w:rPr>
          <w:rFonts w:ascii="Arial" w:hAnsi="Arial" w:cs="Arial" w:eastAsia="Arial"/>
          <w:color w:val="252525"/>
          <w:sz w:val="72"/>
        </w:rPr>
        <w:t xml:space="preserve"> — The Kilonova Spectral Ladder Scale Length</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BSFM merger TIFE predicts a specific ladder scale length λ_TIFE_merger ≈ 87 atomic mass units for the merger r-process yield distribution. This translates to a specific prediction for the peak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opacity-weighted lanthanide abundance in the kilonova spectrum — the wavelength of peak emission in the red/near-infrared kilonova component.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opacity-weighted kilonova emission peaks at the atomic mass number where the TIFE yield is maximum — which for λ_TIFE_merger = 87 and the iron peak at A = 56 is approximately: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A_peak_merger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56 + λ_TIFE_merger × ln(2)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56 + 87 × 0.693 ≈ 116</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This corresponds to silver (Ag, Z = 47) and cadmium (Cd, Z = 48) in the mass number range A = 107 to 116.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However the opacity is not uniform — lanthanides (Z = 57 to 71) have much higher opacity than lighter elements due to their complex electronic structure. The observed kilonova emission is therefore dominated by lanthanide opacity even if the peak TIFE yield is at lower mass numbers. The BSFM prediction for the observable kilonova color: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red component of the kilonova (driven by lanthanide opacity) peaks at approximately 1 to 2 microns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consistent with AT2017gfo observations. The BSFM merger TIFE with λ_TIFE_merger ≈ 87 predicts significant yield in the lanthanide region (A = 138 to 175) — approximately: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Y_lanthanide/Y</w:t>
      </w:r>
      <w:r>
        <w:rPr>
          <w:rFonts w:ascii="Arial" w:hAnsi="Arial" w:cs="Arial" w:eastAsia="Arial"/>
          <w:color w:val="252525"/>
          <w:sz w:val="72"/>
        </w:rPr>
        <w:t>ₜ</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exp(-(138-56)/87) to</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exp(-(175-56)/87)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exp(-0.943) to exp(-</w:t>
      </w:r>
      <w:r>
        <w:rPr>
          <w:rFonts w:ascii="Arial" w:hAnsi="Arial" w:cs="Arial" w:eastAsia="Arial"/>
          <w:color w:val="252525"/>
          <w:sz w:val="72"/>
        </w:rPr>
        <w:t>1.37</w:t>
      </w:r>
      <w:r>
        <w:rPr>
          <w:rFonts w:ascii="Arial" w:hAnsi="Arial" w:cs="Arial" w:eastAsia="Arial"/>
          <w:color w:val="252525"/>
          <w:sz w:val="72"/>
        </w:rPr>
        <w: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0.39</w:t>
      </w:r>
      <w:r>
        <w:rPr>
          <w:rFonts w:ascii="Arial" w:hAnsi="Arial" w:cs="Arial" w:eastAsia="Arial"/>
          <w:color w:val="252525"/>
          <w:sz w:val="72"/>
        </w:rPr>
        <w:t xml:space="preserve"> to </w:t>
      </w:r>
      <w:r>
        <w:rPr>
          <w:rFonts w:ascii="Arial" w:hAnsi="Arial" w:cs="Arial" w:eastAsia="Arial"/>
          <w:color w:val="252525"/>
          <w:sz w:val="72"/>
        </w:rPr>
        <w:t>0.25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Approximately 25 to 39 percent of the merger TIFE yield falls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lanthanide region — consistent with the AT2017gfo inference of significant lanthanide mass (approximately 0.003 to </w:t>
      </w:r>
      <w:r>
        <w:rPr>
          <w:rFonts w:ascii="Arial" w:hAnsi="Arial" w:cs="Arial" w:eastAsia="Arial"/>
          <w:color w:val="252525"/>
          <w:sz w:val="72"/>
        </w:rPr>
        <w:t>0.01</w:t>
      </w:r>
      <w:r>
        <w:rPr>
          <w:rFonts w:ascii="Arial" w:hAnsi="Arial" w:cs="Arial" w:eastAsia="Arial"/>
          <w:color w:val="252525"/>
          <w:sz w:val="72"/>
        </w:rPr>
        <w:t xml:space="preserve"> solar masses of lanthanides) from the red kilonova component.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Test 3</w:t>
      </w:r>
      <w:r>
        <w:rPr>
          <w:rFonts w:ascii="Arial" w:hAnsi="Arial" w:cs="Arial" w:eastAsia="Arial"/>
          <w:color w:val="252525"/>
          <w:sz w:val="72"/>
        </w:rPr>
        <w:t xml:space="preserve"> — The Prompt Neutrino Burst at Merger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If the merger central core satisfies the TIFE boundary conditions the boundary impedance reflection should produce a prompt neutrino burst at the merger — analogous to the TIFE secondary burst at the supernova bounce.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merger prompt neutrino burst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energy: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E_ν_merger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η_merger × E_kinetic_merger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w:t>
      </w:r>
      <w:r>
        <w:rPr>
          <w:rFonts w:ascii="Arial" w:hAnsi="Arial" w:cs="Arial" w:eastAsia="Arial"/>
          <w:color w:val="252525"/>
          <w:sz w:val="72"/>
        </w:rPr>
        <w:t>1/20</w:t>
      </w:r>
      <w:r>
        <w:rPr>
          <w:rFonts w:ascii="Arial" w:hAnsi="Arial" w:cs="Arial" w:eastAsia="Arial"/>
          <w:color w:val="252525"/>
          <w:sz w:val="72"/>
        </w:rPr>
        <w:t xml:space="preserve">π to </w:t>
      </w:r>
      <w:r>
        <w:rPr>
          <w:rFonts w:ascii="Arial" w:hAnsi="Arial" w:cs="Arial" w:eastAsia="Arial"/>
          <w:color w:val="252525"/>
          <w:sz w:val="72"/>
        </w:rPr>
        <w:t>1/10</w:t>
      </w:r>
      <w:r>
        <w:rPr>
          <w:rFonts w:ascii="Arial" w:hAnsi="Arial" w:cs="Arial" w:eastAsia="Arial"/>
          <w:color w:val="252525"/>
          <w:sz w:val="72"/>
        </w:rPr>
        <w:t xml:space="preserve">π) × </w:t>
      </w:r>
      <w:r>
        <w:rPr>
          <w:rFonts w:ascii="Arial" w:hAnsi="Arial" w:cs="Arial" w:eastAsia="Arial"/>
          <w:color w:val="252525"/>
          <w:sz w:val="72"/>
        </w:rPr>
        <w:t>7.41</w:t>
      </w:r>
      <w:r>
        <w:rPr>
          <w:rFonts w:ascii="Arial" w:hAnsi="Arial" w:cs="Arial" w:eastAsia="Arial"/>
          <w:color w:val="252525"/>
          <w:sz w:val="72"/>
        </w:rPr>
        <w:t>×10⁵⁰ ergs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1.18</w:t>
      </w:r>
      <w:r>
        <w:rPr>
          <w:rFonts w:ascii="Arial" w:hAnsi="Arial" w:cs="Arial" w:eastAsia="Arial"/>
          <w:color w:val="252525"/>
          <w:sz w:val="72"/>
        </w:rPr>
        <w:t xml:space="preserve">×10⁴⁹ to </w:t>
      </w:r>
      <w:r>
        <w:rPr>
          <w:rFonts w:ascii="Arial" w:hAnsi="Arial" w:cs="Arial" w:eastAsia="Arial"/>
          <w:color w:val="252525"/>
          <w:sz w:val="72"/>
        </w:rPr>
        <w:t>2.36</w:t>
      </w:r>
      <w:r>
        <w:rPr>
          <w:rFonts w:ascii="Arial" w:hAnsi="Arial" w:cs="Arial" w:eastAsia="Arial"/>
          <w:color w:val="252525"/>
          <w:sz w:val="72"/>
        </w:rPr>
        <w:t>×10⁴⁹ ergs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GW170817 at 40 Mpc the neutrino flux at Earth:</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F_ν_merger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E_ν_merger/(4π d² × Δt)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1.18</w:t>
      </w:r>
      <w:r>
        <w:rPr>
          <w:rFonts w:ascii="Arial" w:hAnsi="Arial" w:cs="Arial" w:eastAsia="Arial"/>
          <w:color w:val="252525"/>
          <w:sz w:val="72"/>
        </w:rPr>
        <w:t>×10⁴⁹/</w:t>
      </w:r>
    </w:p>
    <w:p>
      <w:pPr>
        <w:pageBreakBefore w:val="true"/>
        <w:spacing w:line="240" w:lineRule="auto" w:after="0" w:before="0"/>
        <w:ind w:right="0" w:left="0"/>
      </w:pPr>
    </w:p>
    <w:p>
      <w:pPr>
        <w:spacing w:line="240" w:lineRule="auto" w:after="0" w:before="0"/>
        <w:ind w:right="0" w:left="0"/>
        <w:jc w:val="center"/>
      </w:pPr>
      <w:r>
        <w:rPr>
          <w:rFonts w:ascii="Arial" w:hAnsi="Arial" w:cs="Arial" w:eastAsia="Arial"/>
          <w:color w:val="252525"/>
          <w:sz w:val="72"/>
        </w:rPr>
        <w:t>(4π × (40 Mpc)² × 10⁻³ s)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1.18</w:t>
      </w:r>
      <w:r>
        <w:rPr>
          <w:rFonts w:ascii="Arial" w:hAnsi="Arial" w:cs="Arial" w:eastAsia="Arial"/>
          <w:color w:val="252525"/>
          <w:sz w:val="72"/>
        </w:rPr>
        <w:t>×10⁴⁹/</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 (1.234×10²⁶)² × 10⁻³)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1.18</w:t>
      </w:r>
      <w:r>
        <w:rPr>
          <w:rFonts w:ascii="Arial" w:hAnsi="Arial" w:cs="Arial" w:eastAsia="Arial"/>
          <w:color w:val="252525"/>
          <w:sz w:val="72"/>
        </w:rPr>
        <w:t>×10⁴⁹ / (1.91×10⁵²)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6.2</w:t>
      </w:r>
      <w:r>
        <w:rPr>
          <w:rFonts w:ascii="Arial" w:hAnsi="Arial" w:cs="Arial" w:eastAsia="Arial"/>
          <w:color w:val="252525"/>
          <w:sz w:val="72"/>
        </w:rPr>
        <w:t>×10⁻⁴ erg/cm²/s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This is approximately 20 orders of magnitude below the detection threshold of current neutrino detectors — GW170817 at 40 Mpc is far too distant for neutrino detection. For a galactic neutron star merger — if one occurs within the Milky Way at approximately 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kiloparsecs — the merger prompt neutrino flux would be approximately: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F_ν_galactic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F_ν_merger × (40 Mpc / 10 kpc)²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6.2</w:t>
      </w:r>
      <w:r>
        <w:rPr>
          <w:rFonts w:ascii="Arial" w:hAnsi="Arial" w:cs="Arial" w:eastAsia="Arial"/>
          <w:color w:val="252525"/>
          <w:sz w:val="72"/>
        </w:rPr>
        <w:t>×10⁻⁴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(1.234×10²⁶/3.086×10²²)²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6.2</w:t>
      </w:r>
      <w:r>
        <w:rPr>
          <w:rFonts w:ascii="Arial" w:hAnsi="Arial" w:cs="Arial" w:eastAsia="Arial"/>
          <w:color w:val="252525"/>
          <w:sz w:val="72"/>
        </w:rPr>
        <w:t>×10⁻⁴ × (4000)²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6.2</w:t>
      </w:r>
      <w:r>
        <w:rPr>
          <w:rFonts w:ascii="Arial" w:hAnsi="Arial" w:cs="Arial" w:eastAsia="Arial"/>
          <w:color w:val="252525"/>
          <w:sz w:val="72"/>
        </w:rPr>
        <w:t xml:space="preserve">×10⁻⁴ × </w:t>
      </w:r>
      <w:r>
        <w:rPr>
          <w:rFonts w:ascii="Arial" w:hAnsi="Arial" w:cs="Arial" w:eastAsia="Arial"/>
          <w:color w:val="252525"/>
          <w:sz w:val="72"/>
        </w:rPr>
        <w:t>1.6</w:t>
      </w:r>
      <w:r>
        <w:rPr>
          <w:rFonts w:ascii="Arial" w:hAnsi="Arial" w:cs="Arial" w:eastAsia="Arial"/>
          <w:color w:val="252525"/>
          <w:sz w:val="72"/>
        </w:rPr>
        <w:t>×10⁷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9920 erg/cm²/s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galactic neutron star merger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would produce a merger prompt neutrino burst at Earth flux of approximately 10⁴ erg/cm²/s — detectable by Hyper-Kamiokande with approximately: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N_ν_galactic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E_ν_galactic × σ_IBD × N</w:t>
      </w:r>
      <w:r>
        <w:rPr>
          <w:rFonts w:ascii="Arial" w:hAnsi="Arial" w:cs="Arial" w:eastAsia="Arial"/>
          <w:color w:val="252525"/>
          <w:sz w:val="72"/>
        </w:rPr>
        <w:t>ₚ</w:t>
      </w:r>
      <w:r>
        <w:rPr>
          <w:rFonts w:ascii="Arial" w:hAnsi="Arial" w:cs="Arial" w:eastAsia="Arial"/>
          <w:color w:val="252525"/>
          <w:sz w:val="72"/>
        </w:rPr>
        <w:t>/</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d² × &lt;E</w:t>
      </w:r>
      <w:r>
        <w:rPr>
          <w:rFonts w:ascii="Arial" w:hAnsi="Arial" w:cs="Arial" w:eastAsia="Arial"/>
          <w:color w:val="252525"/>
          <w:sz w:val="72"/>
        </w:rPr>
        <w:t>ᵥ</w:t>
      </w:r>
      <w:r>
        <w:rPr>
          <w:rFonts w:ascii="Arial" w:hAnsi="Arial" w:cs="Arial" w:eastAsia="Arial"/>
          <w:color w:val="252525"/>
          <w:sz w:val="72"/>
        </w:rPr>
        <w:t>&gt;)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For E</w:t>
      </w:r>
      <w:r>
        <w:rPr>
          <w:rFonts w:ascii="Arial" w:hAnsi="Arial" w:cs="Arial" w:eastAsia="Arial"/>
          <w:color w:val="252525"/>
          <w:sz w:val="72"/>
        </w:rPr>
        <w:t>ᵥ</w:t>
      </w:r>
      <w:r>
        <w:rPr>
          <w:rFonts w:ascii="Arial" w:hAnsi="Arial" w:cs="Arial" w:eastAsia="Arial"/>
          <w:color w:val="252525"/>
          <w:sz w:val="72"/>
        </w:rPr>
        <w:t xml:space="preserve"> ≈ 30 MeV mean energy:</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N ≈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5.9×10⁴⁹ × 6×10⁻⁴¹ × </w:t>
      </w:r>
      <w:r>
        <w:rPr>
          <w:rFonts w:ascii="Arial" w:hAnsi="Arial" w:cs="Arial" w:eastAsia="Arial"/>
          <w:color w:val="252525"/>
          <w:sz w:val="72"/>
        </w:rPr>
        <w:t>1.25</w:t>
      </w:r>
      <w:r>
        <w:rPr>
          <w:rFonts w:ascii="Arial" w:hAnsi="Arial" w:cs="Arial" w:eastAsia="Arial"/>
          <w:color w:val="252525"/>
          <w:sz w:val="72"/>
        </w:rPr>
        <w:t>×10³⁴/</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[4π × (3.086×10²²)² ×</w:t>
      </w:r>
    </w:p>
    <w:p>
      <w:pPr>
        <w:pageBreakBefore w:val="true"/>
        <w:spacing w:line="240" w:lineRule="auto" w:after="0" w:before="0"/>
        <w:ind w:right="0" w:left="0"/>
      </w:pP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 xml:space="preserve">30×10⁶ × </w:t>
      </w:r>
      <w:r>
        <w:rPr>
          <w:rFonts w:ascii="Arial" w:hAnsi="Arial" w:cs="Arial" w:eastAsia="Arial"/>
          <w:color w:val="252525"/>
          <w:sz w:val="72"/>
        </w:rPr>
        <w:t>1.6</w:t>
      </w:r>
      <w:r>
        <w:rPr>
          <w:rFonts w:ascii="Arial" w:hAnsi="Arial" w:cs="Arial" w:eastAsia="Arial"/>
          <w:color w:val="252525"/>
          <w:sz w:val="72"/>
        </w:rPr>
        <w:t>×10⁻¹²] ≈</w:t>
      </w:r>
    </w:p>
    <w:p>
      <w:pPr>
        <w:spacing w:line="270" w:lineRule="auto" w:after="0" w:before="0"/>
        <w:ind w:right="0" w:left="0"/>
        <w:jc w:val="center"/>
        <w:rPr>
          <w:rFonts w:ascii="Arial" w:hAnsi="Arial" w:cs="Arial"/>
          <w:sz w:val="72"/>
        </w:rPr>
      </w:pPr>
      <w:r/>
    </w:p>
    <w:p>
      <w:pPr>
        <w:spacing w:line="240" w:lineRule="auto" w:after="0" w:before="0"/>
        <w:ind w:right="0" w:left="0"/>
        <w:jc w:val="center"/>
      </w:pPr>
      <w:r>
        <w:rPr>
          <w:rFonts w:ascii="Arial" w:hAnsi="Arial" w:cs="Arial" w:eastAsia="Arial"/>
          <w:color w:val="252525"/>
          <w:sz w:val="72"/>
        </w:rPr>
        <w:t>4.4×10⁴³ / (5.7×10⁴¹) ≈ 77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Approximately 77 neutrino events at Hyper-Kamiokande from the prompt merger TIFE burst — a detectable signal from a galactic neutron star merger.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Confirmation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Detection of a prompt neutrino burst coincident within 10 milliseconds of the gravitational wave merger signal from a galactic neutron star merger — with energy and spectral character consistent with the BSFM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merger TIFE prediction — would constitute the third independent confirmation of the Universal Boundary Impedance Theorem.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Refutation criterion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Non-detection of a prompt neutrino burst from a galactic neutron star merger at Hyper-Kamiokande sensitivity — or detection with energy inconsistent with η_merger in the range (⅔)η to 2η — would refute the BSFM merger TIFE prediction.</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25.8</w:t>
      </w:r>
      <w:r>
        <w:rPr>
          <w:rFonts w:ascii="Arial" w:hAnsi="Arial" w:cs="Arial" w:eastAsia="Arial"/>
          <w:b w:val="true"/>
          <w:color w:val="252525"/>
          <w:sz w:val="72"/>
        </w:rPr>
        <w:t xml:space="preserve"> — SUMMARY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The TIFE mechanism has been investigated in the binary neutron star merger context with the following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four maximum-gradient boundary conditions are approximately satisfied at the merger central core — the TIFE condition (τ_compression &lt; τ_reaction) is satisfied, Conditions 1 and 2 are satisfied, Condition 4 is satisfied with a large margin, and Condition 3 is approximately satisfied with a topology correction factor of 1 to 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merger TIFE produces r-process yields with a ladder scale length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λ_TIFE_merger ≈ 87 atomic mass units — extending to the lanthanide region — with a total r-process mass of approximately 0.006 to 0.012 solar masses for GW170817 parameters. This is consistent with the AT2017gfo kilonova observations within a factor of 2 to 4.</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unified TIFE picture — one mechanism operating under two different neutron-to-proton ratio conditions — explains the two-component cosmic r-process enrichment history: first-peak elements from supernova TIFE and second/third-peak lanthanide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elements from merger TIFE.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merger boundary impedance constant η_merger = 2/(Ω_merger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is in the range (⅔)η to 2η — a topology-corrected generalization of the Universal Boundary Impedance Theorem for non-spherical boundary geometries.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Three observational tests are identified: the [Eu/Sr] ratio evolution with metallicity in metal-poor stars (testable now), the kilonova spectral distribution (testable with future kilonova events), and the prompt neutrino burst from a galactic neutron star merger (testable with Hyper-Kamiokande if a galactic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merger occurs).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partial unification of the r-process production sites under the TIFE mechanism is a significant result — not complete because the merger topology correction prevents exact equality of η_merger and η, but structurally compelling because the same physical condition (τ_compression &lt; τ_reaction) drives nucleosynthesis above the iron peak in both environments. The TIFE is the unified physical mechanism. The boundary solid angle determines its efficiency.</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b w:val="true"/>
          <w:color w:val="252525"/>
          <w:sz w:val="87"/>
        </w:rPr>
        <w:t>CHAPTER 26</w:t>
      </w:r>
    </w:p>
    <w:p>
      <w:pPr>
        <w:pageBreakBefore w:val="true"/>
        <w:spacing w:line="240" w:lineRule="auto" w:after="0" w:before="0"/>
        <w:ind w:right="0" w:left="0"/>
      </w:pPr>
    </w:p>
    <w:p>
      <w:pPr>
        <w:spacing w:line="270" w:lineRule="auto" w:after="0" w:before="0"/>
        <w:ind w:right="0" w:left="0"/>
        <w:jc w:val="center"/>
        <w:rPr>
          <w:rFonts w:ascii="Arial" w:hAnsi="Arial" w:cs="Arial"/>
          <w:sz w:val="80"/>
        </w:rPr>
      </w:pPr>
      <w:r/>
    </w:p>
    <w:p>
      <w:pPr>
        <w:spacing w:line="240" w:lineRule="auto" w:after="0" w:before="0"/>
        <w:ind w:right="0" w:left="0"/>
        <w:jc w:val="center"/>
      </w:pPr>
      <w:r>
        <w:rPr>
          <w:rFonts w:ascii="Arial" w:hAnsi="Arial" w:cs="Arial" w:eastAsia="Arial"/>
          <w:b w:val="true"/>
          <w:color w:val="252525"/>
          <w:sz w:val="80"/>
        </w:rPr>
        <w:t>THE RECURSIVE IMPROVEMENT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26.0 — PREFATORY STATEMENT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26.0.1 What this chapter establishes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formal specification of the mechanism by which the BSFM framework improves its own predictive precision as new observational and experimental data accumulates — without modifying its underlying physics and without requiring post-hoc parameter adjustment. This chapter defines what it means for a theoretical framework to be a living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scientific instrument, specifies the mathematical structure of the improvement mechanism, identifies the data streams that feed it, and establishes the criteria by which improvement is distinguished from drift — the difference between a framework becoming more precise and a framework being quietly tuned to fit data after the fact.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26.0.2 Why this chapter is necessary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Every theoretical framework faces a tension between two legitimate scientific imperatives. The first imperative is stability — a framework whose predictions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change every time new data arrives is not a framework but a curve-fitting exercise. The second imperative is responsiveness — a framework that ignores new data and never improves its precision is not science but dogma.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framework resolves this tension through a specific architectural distinction between two classes of parameters: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Fixed parameters</w:t>
      </w:r>
      <w:r>
        <w:rPr>
          <w:rFonts w:ascii="Arial" w:hAnsi="Arial" w:cs="Arial" w:eastAsia="Arial"/>
          <w:color w:val="252525"/>
          <w:sz w:val="72"/>
        </w:rPr>
        <w:t xml:space="preserve"> — quantities derived from first principles in Parts I and II of this volume that are immutable regardless of what observational data shows. η = </w:t>
      </w:r>
      <w:r>
        <w:rPr>
          <w:rFonts w:ascii="Arial" w:hAnsi="Arial" w:cs="Arial" w:eastAsia="Arial"/>
          <w:color w:val="252525"/>
          <w:sz w:val="72"/>
        </w:rPr>
        <w:t>1/20</w:t>
      </w:r>
      <w:r>
        <w:rPr>
          <w:rFonts w:ascii="Arial" w:hAnsi="Arial" w:cs="Arial" w:eastAsia="Arial"/>
          <w:color w:val="252525"/>
          <w:sz w:val="72"/>
        </w:rPr>
        <w:t xml:space="preserve">π, the cascade equation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structure, the Gradient Steepening Function, the TIFE initiation condition — these are derived from geometry and physics. They do not change. If observations are inconsistent with these fixed parameters the framework is refuted not adjusted.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Calibration parameters</w:t>
      </w:r>
      <w:r>
        <w:rPr>
          <w:rFonts w:ascii="Arial" w:hAnsi="Arial" w:cs="Arial" w:eastAsia="Arial"/>
          <w:color w:val="252525"/>
          <w:sz w:val="72"/>
        </w:rPr>
        <w:t xml:space="preserve"> — quantities that are constrained by observational data and improve in precision as more data accumulates. The Zone B efficiency calibration constant, the TIFE ladder scale length λ_0, the gravitational capture efficiency ξ, the condensation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temperature corrections for individual elements — these are observationally conditioned parameters whose values are determined by fitting to data. They improve with more data but within bounds established by the fixed parameter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recursive improvement mechanism operates exclusively on calibration parameters. It never touches fixed parameters. This distinction is the formal guarantee that improvement does not shade into retrofitting.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scientific significance of this distinction</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distinction matters for peer review at the highest level. A reviewer examining the BSFM framework will ask: if you can adjust your parameters to fit any dataset, how do you know your framework is doing physics rather than curve fitting? The answer is that the fixed parameters — derived entirely from geometry and first principles with no observational input — make specific predictions that the framework is committed to regardless of what data shows. The calibration parameters improve the precision of those predictions but cannot change their directional content.</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To make this concrete:</w:t>
      </w:r>
      <w:r>
        <w:rPr>
          <w:rFonts w:ascii="Arial" w:hAnsi="Arial" w:cs="Arial" w:eastAsia="Arial"/>
          <w:color w:val="252525"/>
          <w:sz w:val="72"/>
        </w:rPr>
        <w:t xml:space="preserve"> η = </w:t>
      </w:r>
      <w:r>
        <w:rPr>
          <w:rFonts w:ascii="Arial" w:hAnsi="Arial" w:cs="Arial" w:eastAsia="Arial"/>
          <w:color w:val="252525"/>
          <w:sz w:val="72"/>
        </w:rPr>
        <w:t>1/20</w:t>
      </w:r>
      <w:r>
        <w:rPr>
          <w:rFonts w:ascii="Arial" w:hAnsi="Arial" w:cs="Arial" w:eastAsia="Arial"/>
          <w:color w:val="252525"/>
          <w:sz w:val="72"/>
        </w:rPr>
        <w:t xml:space="preserve">π is a fixed parameter. The prediction that the TIFE secondary neutrino burst carries approximately </w:t>
      </w:r>
      <w:r>
        <w:rPr>
          <w:rFonts w:ascii="Arial" w:hAnsi="Arial" w:cs="Arial" w:eastAsia="Arial"/>
          <w:color w:val="252525"/>
          <w:sz w:val="72"/>
        </w:rPr>
        <w:t>1.59</w:t>
      </w:r>
      <w:r>
        <w:rPr>
          <w:rFonts w:ascii="Arial" w:hAnsi="Arial" w:cs="Arial" w:eastAsia="Arial"/>
          <w:color w:val="252525"/>
          <w:sz w:val="72"/>
        </w:rPr>
        <w:t xml:space="preserve"> percent of the incident infall kinetic energy is a fixed prediction — it cannot be changed by recalibrating λ_0 or ξ. The prediction that the solar system progenitor mass is between 15 and 25 solar masses is a calibration-dependent prediction — it improves in precision as the Zone B efficiency calibration is refined but its range cannot be shifted arbitrarily. If recalibration were to push the solar system progenitor estimate to 100 solar masses — above the Fryer Mass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Limit — that would indicate a fundamental error in the framework not an acceptable calibration outcome.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Assumptions stated explicitly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Assumption 1 </w:t>
      </w:r>
      <w:r>
        <w:rPr>
          <w:rFonts w:ascii="Arial" w:hAnsi="Arial" w:cs="Arial" w:eastAsia="Arial"/>
          <w:color w:val="252525"/>
          <w:sz w:val="72"/>
        </w:rPr>
        <w:t>— The recursive improvement framework operates on the calibration parameters of Chapter 14 Module 1 (TIFE ladder scale length λ</w:t>
      </w:r>
      <w:r>
        <w:rPr>
          <w:rFonts w:ascii="Arial" w:hAnsi="Arial" w:cs="Arial" w:eastAsia="Arial"/>
          <w:color w:val="252525"/>
          <w:sz w:val="72"/>
        </w:rPr>
        <w:t>₀</w:t>
      </w:r>
      <w:r>
        <w:rPr>
          <w:rFonts w:ascii="Arial" w:hAnsi="Arial" w:cs="Arial" w:eastAsia="Arial"/>
          <w:color w:val="252525"/>
          <w:sz w:val="72"/>
        </w:rPr>
        <w:t xml:space="preserve"> and yield normalization Y</w:t>
      </w:r>
      <w:r>
        <w:rPr>
          <w:rFonts w:ascii="Arial" w:hAnsi="Arial" w:cs="Arial" w:eastAsia="Arial"/>
          <w:color w:val="252525"/>
          <w:sz w:val="72"/>
        </w:rPr>
        <w:t>₀</w:t>
      </w:r>
      <w:r>
        <w:rPr>
          <w:rFonts w:ascii="Arial" w:hAnsi="Arial" w:cs="Arial" w:eastAsia="Arial"/>
          <w:color w:val="252525"/>
          <w:sz w:val="72"/>
        </w:rPr>
        <w:t xml:space="preserve">), Module 2 (Zone B efficiency calibration via η_shock_transmission and density ratio), and the forensic inversion parameters of Chapter 12 (gravitational capture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efficiency ξ and condensation temperature corrections). It does not operate on the fixed parameters of Chapters 1 through 8.</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2</w:t>
      </w:r>
      <w:r>
        <w:rPr>
          <w:rFonts w:ascii="Arial" w:hAnsi="Arial" w:cs="Arial" w:eastAsia="Arial"/>
          <w:color w:val="252525"/>
          <w:sz w:val="72"/>
        </w:rPr>
        <w:t xml:space="preserve"> — Improvement is defined as a decrease in the uncertainty on calibration parameters measured by the width of the posterior probability distribution over those parameters given the accumulated data. A narrower posterior means more precise predictions — improvement. A shifted posterior mean without a narrower posterior means the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parameter estimate has changed without becoming more constrained — this signals a potential model inadequacy rather than improvement and triggers a diagnostic review.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3</w:t>
      </w:r>
      <w:r>
        <w:rPr>
          <w:rFonts w:ascii="Arial" w:hAnsi="Arial" w:cs="Arial" w:eastAsia="Arial"/>
          <w:color w:val="252525"/>
          <w:sz w:val="72"/>
        </w:rPr>
        <w:t xml:space="preserve"> — The framework uses Bayesian updating as the mathematical mechanism of improvement — the posterior over calibration parameters is updated each time new data arrives by multiplying the prior by the likelihood of the new data given the parameter values. This is identical in structure to the Bayesian Constraint Engine of Architecture of Collapse Section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2.18</w:t>
      </w:r>
      <w:r>
        <w:rPr>
          <w:rFonts w:ascii="Arial" w:hAnsi="Arial" w:cs="Arial" w:eastAsia="Arial"/>
          <w:color w:val="252525"/>
          <w:sz w:val="72"/>
        </w:rPr>
        <w:t xml:space="preserve"> — the improvement framework is a direct extension of the existing BSFM computational infrastructure.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Assumption 4</w:t>
      </w:r>
      <w:r>
        <w:rPr>
          <w:rFonts w:ascii="Arial" w:hAnsi="Arial" w:cs="Arial" w:eastAsia="Arial"/>
          <w:color w:val="252525"/>
          <w:sz w:val="72"/>
        </w:rPr>
        <w:t xml:space="preserve"> — The improvement framework is versioned. Each significant update to the calibration parameter posterior — defined as a reduction of at least 20 % in the posterior width for at least one calibration parameter — constitutes a new version release. The version history is maintained and all published results cite the version used. This ensures reproducibility as the calibration evolves.</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26.1</w:t>
      </w:r>
      <w:r>
        <w:rPr>
          <w:rFonts w:ascii="Arial" w:hAnsi="Arial" w:cs="Arial" w:eastAsia="Arial"/>
          <w:b w:val="true"/>
          <w:color w:val="252525"/>
          <w:sz w:val="72"/>
        </w:rPr>
        <w:t xml:space="preserve"> — THE FIXED PARAMETER 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parameters are fixed by first-principles derivations in Parts I and II. They are listed here explicitly so that their fixed status is unambiguous.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Chapter 1 — The Gradient Steepening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functional form P_gravitational(r,t) = min{ Ξ(r,t) × [GM(r,t)ρ(r,t)/r²] + [P_bounce × δ(t)/V(r)] - P_support(r,t), c³/(4GηrH) } — fixed in form and structure. The specific values of G c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Schwarzschild relation rH = 2GM/c² are physical constants not calibration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Chapter 2 — The Unified Degeneracy Cascade: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cascade equation structure P_gravitational &gt; K(n) × ρ^(4/3) — fixed. The specific values of K(1) and K(2) are derived from quantum statistical mechanics and are fixed physical constants. K(3) carries a dependence on the strong coupling constant α_s which is a measured physical constant not a calibration parameter.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From Chapter 3 — The Geometric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Normalization: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η = 2/(Ω_S² × </w:t>
      </w:r>
      <w:r>
        <w:rPr>
          <w:rFonts w:ascii="Arial" w:hAnsi="Arial" w:cs="Arial" w:eastAsia="Arial"/>
          <w:color w:val="252525"/>
          <w:sz w:val="72"/>
        </w:rPr>
        <w:t>D</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ₐ</w:t>
      </w:r>
      <w:r>
        <w:rPr>
          <w:rFonts w:ascii="Arial" w:hAnsi="Arial" w:cs="Arial" w:eastAsia="Arial"/>
          <w:color w:val="252525"/>
          <w:sz w:val="72"/>
        </w:rPr>
        <w:t>ₜ</w:t>
      </w:r>
      <w:r>
        <w:rPr>
          <w:rFonts w:ascii="Arial" w:hAnsi="Arial" w:cs="Arial" w:eastAsia="Arial"/>
          <w:color w:val="252525"/>
          <w:sz w:val="72"/>
        </w:rPr>
        <w:t>ᵢ</w:t>
      </w:r>
      <w:r>
        <w:rPr>
          <w:rFonts w:ascii="Arial" w:hAnsi="Arial" w:cs="Arial" w:eastAsia="Arial"/>
          <w:color w:val="252525"/>
          <w:sz w:val="72"/>
        </w:rPr>
        <w:t>ₐ</w:t>
      </w:r>
      <w:r>
        <w:rPr>
          <w:rFonts w:ascii="Arial" w:hAnsi="Arial" w:cs="Arial" w:eastAsia="Arial"/>
          <w:color w:val="252525"/>
          <w:sz w:val="72"/>
        </w:rPr>
        <w:t>ₗ</w:t>
      </w:r>
      <w:r>
        <w:rPr>
          <w:rFonts w:ascii="Arial" w:hAnsi="Arial" w:cs="Arial" w:eastAsia="Arial"/>
          <w:color w:val="252525"/>
          <w:sz w:val="72"/>
        </w:rPr>
        <w:t xml:space="preserve">) = </w:t>
      </w:r>
      <w:r>
        <w:rPr>
          <w:rFonts w:ascii="Arial" w:hAnsi="Arial" w:cs="Arial" w:eastAsia="Arial"/>
          <w:color w:val="252525"/>
          <w:sz w:val="72"/>
        </w:rPr>
        <w:t>1/20</w:t>
      </w:r>
      <w:r>
        <w:rPr>
          <w:rFonts w:ascii="Arial" w:hAnsi="Arial" w:cs="Arial" w:eastAsia="Arial"/>
          <w:color w:val="252525"/>
          <w:sz w:val="72"/>
        </w:rPr>
        <w:t>π — fixed. The value is determined by the solid angle of a 2-sphere (4π — geometric) and the number of M-theory spatial dimensions (10 — a physical constant of the landscape). Neither can be adjusted.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Chapter 4 — The Spin Correction: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functional forms of R</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(a_*), v_infall(M</w:t>
      </w:r>
      <w:r>
        <w:rPr>
          <w:rFonts w:ascii="Arial" w:hAnsi="Arial" w:cs="Arial" w:eastAsia="Arial"/>
          <w:color w:val="252525"/>
          <w:sz w:val="72"/>
        </w:rPr>
        <w:t>ₛ</w:t>
      </w:r>
      <w:r>
        <w:rPr>
          <w:rFonts w:ascii="Arial" w:hAnsi="Arial" w:cs="Arial" w:eastAsia="Arial"/>
          <w:color w:val="252525"/>
          <w:sz w:val="72"/>
        </w:rPr>
        <w:t>, a_*, R_Fe), A_ejecta(a_*), and F_</w:t>
      </w:r>
      <w:r>
        <w:rPr>
          <w:rFonts w:ascii="Arial" w:hAnsi="Arial" w:cs="Arial" w:eastAsia="Arial"/>
          <w:color w:val="252525"/>
          <w:sz w:val="72"/>
        </w:rPr>
        <w:t>ₛ</w:t>
      </w:r>
      <w:r>
        <w:rPr>
          <w:rFonts w:ascii="Arial" w:hAnsi="Arial" w:cs="Arial" w:eastAsia="Arial"/>
          <w:color w:val="252525"/>
          <w:sz w:val="72"/>
        </w:rPr>
        <w:t>ₚ</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(a_*, θ) — fixed in form. The specific coefficient C</w:t>
      </w:r>
      <w:r>
        <w:rPr>
          <w:rFonts w:ascii="Arial" w:hAnsi="Arial" w:cs="Arial" w:eastAsia="Arial"/>
          <w:color w:val="252525"/>
          <w:sz w:val="72"/>
        </w:rPr>
        <w:t>ᵣ</w:t>
      </w:r>
      <w:r>
        <w:rPr>
          <w:rFonts w:ascii="Arial" w:hAnsi="Arial" w:cs="Arial" w:eastAsia="Arial"/>
          <w:color w:val="252525"/>
          <w:sz w:val="72"/>
        </w:rPr>
        <w:t>ₒ</w:t>
      </w:r>
      <w:r>
        <w:rPr>
          <w:rFonts w:ascii="Arial" w:hAnsi="Arial" w:cs="Arial" w:eastAsia="Arial"/>
          <w:color w:val="252525"/>
          <w:sz w:val="72"/>
        </w:rPr>
        <w:t>ₜ</w:t>
      </w:r>
      <w:r>
        <w:rPr>
          <w:rFonts w:ascii="Arial" w:hAnsi="Arial" w:cs="Arial" w:eastAsia="Arial"/>
          <w:color w:val="252525"/>
          <w:sz w:val="72"/>
        </w:rPr>
        <w:t xml:space="preserve"> = 5rS/(12κ²R) carries a dependence on κ — the dimensionless moment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inertia factor — which varies from star to star and is treated as a stellar structure parameter not a calibration parameter of the BSFM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From Chapters 5 through 8 — The Boundary Impedance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results derived from the Universal Boundary Impedance Theorem — the energy partitioning Φ_ref = η × Φ</w:t>
      </w:r>
      <w:r>
        <w:rPr>
          <w:rFonts w:ascii="Arial" w:hAnsi="Arial" w:cs="Arial" w:eastAsia="Arial"/>
          <w:color w:val="252525"/>
          <w:sz w:val="72"/>
        </w:rPr>
        <w:t>ᵢ</w:t>
      </w:r>
      <w:r>
        <w:rPr>
          <w:rFonts w:ascii="Arial" w:hAnsi="Arial" w:cs="Arial" w:eastAsia="Arial"/>
          <w:color w:val="252525"/>
          <w:sz w:val="72"/>
        </w:rPr>
        <w:t>ₙ</w:t>
      </w:r>
      <w:r>
        <w:rPr>
          <w:rFonts w:ascii="Arial" w:hAnsi="Arial" w:cs="Arial" w:eastAsia="Arial"/>
          <w:color w:val="252525"/>
          <w:sz w:val="72"/>
        </w:rPr>
        <w:t xml:space="preserve">, the buffer shell Δr = η × rH, the echo timing Δt = 17.68 GM/c³ — are fixed consequences of η = </w:t>
      </w:r>
      <w:r>
        <w:rPr>
          <w:rFonts w:ascii="Arial" w:hAnsi="Arial" w:cs="Arial" w:eastAsia="Arial"/>
          <w:color w:val="252525"/>
          <w:sz w:val="72"/>
        </w:rPr>
        <w:t>1/20</w:t>
      </w:r>
      <w:r>
        <w:rPr>
          <w:rFonts w:ascii="Arial" w:hAnsi="Arial" w:cs="Arial" w:eastAsia="Arial"/>
          <w:color w:val="252525"/>
          <w:sz w:val="72"/>
        </w:rPr>
        <w:t>π and are not adjustable.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Total count of fixed parameters: 12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 xml:space="preserve">functional forms and 4 pure numerical constants (η, Ω_S², </w:t>
      </w:r>
      <w:r>
        <w:rPr>
          <w:rFonts w:ascii="Arial" w:hAnsi="Arial" w:cs="Arial" w:eastAsia="Arial"/>
          <w:b w:val="true"/>
          <w:color w:val="252525"/>
          <w:sz w:val="72"/>
        </w:rPr>
        <w:t>D</w:t>
      </w:r>
      <w:r>
        <w:rPr>
          <w:rFonts w:ascii="Arial" w:hAnsi="Arial" w:cs="Arial" w:eastAsia="Arial"/>
          <w:b w:val="true"/>
          <w:color w:val="252525"/>
          <w:sz w:val="72"/>
        </w:rPr>
        <w:t>ₛ</w:t>
      </w:r>
      <w:r>
        <w:rPr>
          <w:rFonts w:ascii="Arial" w:hAnsi="Arial" w:cs="Arial" w:eastAsia="Arial"/>
          <w:b w:val="true"/>
          <w:color w:val="252525"/>
          <w:sz w:val="72"/>
        </w:rPr>
        <w:t>ₚ</w:t>
      </w:r>
      <w:r>
        <w:rPr>
          <w:rFonts w:ascii="Arial" w:hAnsi="Arial" w:cs="Arial" w:eastAsia="Arial"/>
          <w:b w:val="true"/>
          <w:color w:val="252525"/>
          <w:sz w:val="72"/>
        </w:rPr>
        <w:t>ₐ</w:t>
      </w:r>
      <w:r>
        <w:rPr>
          <w:rFonts w:ascii="Arial" w:hAnsi="Arial" w:cs="Arial" w:eastAsia="Arial"/>
          <w:b w:val="true"/>
          <w:color w:val="252525"/>
          <w:sz w:val="72"/>
        </w:rPr>
        <w:t>ₜ</w:t>
      </w:r>
      <w:r>
        <w:rPr>
          <w:rFonts w:ascii="Arial" w:hAnsi="Arial" w:cs="Arial" w:eastAsia="Arial"/>
          <w:b w:val="true"/>
          <w:color w:val="252525"/>
          <w:sz w:val="72"/>
        </w:rPr>
        <w:t>ᵢ</w:t>
      </w:r>
      <w:r>
        <w:rPr>
          <w:rFonts w:ascii="Arial" w:hAnsi="Arial" w:cs="Arial" w:eastAsia="Arial"/>
          <w:b w:val="true"/>
          <w:color w:val="252525"/>
          <w:sz w:val="72"/>
        </w:rPr>
        <w:t>ₐ</w:t>
      </w:r>
      <w:r>
        <w:rPr>
          <w:rFonts w:ascii="Arial" w:hAnsi="Arial" w:cs="Arial" w:eastAsia="Arial"/>
          <w:b w:val="true"/>
          <w:color w:val="252525"/>
          <w:sz w:val="72"/>
        </w:rPr>
        <w:t>ₗ</w:t>
      </w:r>
      <w:r>
        <w:rPr>
          <w:rFonts w:ascii="Arial" w:hAnsi="Arial" w:cs="Arial" w:eastAsia="Arial"/>
          <w:b w:val="true"/>
          <w:color w:val="252525"/>
          <w:sz w:val="72"/>
        </w:rPr>
        <w:t>, the cascade phase count).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26.2</w:t>
      </w:r>
      <w:r>
        <w:rPr>
          <w:rFonts w:ascii="Arial" w:hAnsi="Arial" w:cs="Arial" w:eastAsia="Arial"/>
          <w:b w:val="true"/>
          <w:color w:val="252525"/>
          <w:sz w:val="72"/>
        </w:rPr>
        <w:t xml:space="preserve"> — THE CALIBRATION PARAMETER SET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following parameters are calibrated against observational data and improve in precision as data accumulates. They are constrained by the fixed parameter framework — their allowed ranges are bounded by the requirement that they produce predictions consistent with the fixed parameter results.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Calibration Parameter 1</w:t>
      </w:r>
      <w:r>
        <w:rPr>
          <w:rFonts w:ascii="Arial" w:hAnsi="Arial" w:cs="Arial" w:eastAsia="Arial"/>
          <w:color w:val="252525"/>
          <w:sz w:val="72"/>
        </w:rPr>
        <w:t xml:space="preserve"> — TIFE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Ladder Scale Length λ</w:t>
      </w:r>
      <w:r>
        <w:rPr>
          <w:rFonts w:ascii="Arial" w:hAnsi="Arial" w:cs="Arial" w:eastAsia="Arial"/>
          <w:color w:val="252525"/>
          <w:sz w:val="72"/>
        </w:rPr>
        <w:t>₀</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 xml:space="preserve">The base TIFE ladder scale length for a 20 solar mass progenitor with a_* = 0 — the characteristic atomic mass range over which the TIFE yield decreases by a factor of e above the iron peak. From Section </w:t>
      </w:r>
      <w:r>
        <w:rPr>
          <w:rFonts w:ascii="Arial" w:hAnsi="Arial" w:cs="Arial" w:eastAsia="Arial"/>
          <w:color w:val="252525"/>
          <w:sz w:val="72"/>
        </w:rPr>
        <w:t>14.2</w:t>
      </w:r>
      <w:r>
        <w:rPr>
          <w:rFonts w:ascii="Arial" w:hAnsi="Arial" w:cs="Arial" w:eastAsia="Arial"/>
          <w:color w:val="252525"/>
          <w:sz w:val="72"/>
        </w:rPr>
        <w:t>: λ_TIFE(M</w:t>
      </w:r>
      <w:r>
        <w:rPr>
          <w:rFonts w:ascii="Arial" w:hAnsi="Arial" w:cs="Arial" w:eastAsia="Arial"/>
          <w:color w:val="252525"/>
          <w:sz w:val="72"/>
        </w:rPr>
        <w:t>ₛ</w:t>
      </w:r>
      <w:r>
        <w:rPr>
          <w:rFonts w:ascii="Arial" w:hAnsi="Arial" w:cs="Arial" w:eastAsia="Arial"/>
          <w:color w:val="252525"/>
          <w:sz w:val="72"/>
        </w:rPr>
        <w:t>) = λ</w:t>
      </w:r>
      <w:r>
        <w:rPr>
          <w:rFonts w:ascii="Arial" w:hAnsi="Arial" w:cs="Arial" w:eastAsia="Arial"/>
          <w:color w:val="252525"/>
          <w:sz w:val="72"/>
        </w:rPr>
        <w:t>₀</w:t>
      </w:r>
      <w:r>
        <w:rPr>
          <w:rFonts w:ascii="Arial" w:hAnsi="Arial" w:cs="Arial" w:eastAsia="Arial"/>
          <w:color w:val="252525"/>
          <w:sz w:val="72"/>
        </w:rPr>
        <w:t xml:space="preserve"> × (M</w:t>
      </w:r>
      <w:r>
        <w:rPr>
          <w:rFonts w:ascii="Arial" w:hAnsi="Arial" w:cs="Arial" w:eastAsia="Arial"/>
          <w:color w:val="252525"/>
          <w:sz w:val="72"/>
        </w:rPr>
        <w:t>ₛ</w:t>
      </w:r>
      <w:r>
        <w:rPr>
          <w:rFonts w:ascii="Arial" w:hAnsi="Arial" w:cs="Arial" w:eastAsia="Arial"/>
          <w:color w:val="252525"/>
          <w:sz w:val="72"/>
        </w:rPr>
        <w:t>/20)</w:t>
      </w:r>
      <w:r>
        <w:rPr>
          <w:rFonts w:ascii="Arial" w:hAnsi="Arial" w:cs="Arial" w:eastAsia="Arial"/>
          <w:color w:val="252525"/>
          <w:sz w:val="72"/>
        </w:rPr>
        <w:t>⁽¹</w:t>
      </w:r>
      <w:r>
        <w:rPr>
          <w:rFonts w:ascii="Arial" w:hAnsi="Arial" w:cs="Arial" w:eastAsia="Arial"/>
          <w:color w:val="252525"/>
          <w:sz w:val="72"/>
        </w:rPr>
        <w:t>ᐟ²</w:t>
      </w:r>
      <w:r>
        <w:rPr>
          <w:rFonts w:ascii="Arial" w:hAnsi="Arial" w:cs="Arial" w:eastAsia="Arial"/>
          <w:color w:val="252525"/>
          <w:sz w:val="72"/>
        </w:rPr>
        <w:t>⁾</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Initial estimate: </w:t>
      </w:r>
      <w:r>
        <w:rPr>
          <w:rFonts w:ascii="Arial" w:hAnsi="Arial" w:cs="Arial" w:eastAsia="Arial"/>
          <w:color w:val="252525"/>
          <w:sz w:val="72"/>
        </w:rPr>
        <w:t>λ</w:t>
      </w:r>
      <w:r>
        <w:rPr>
          <w:rFonts w:ascii="Arial" w:hAnsi="Arial" w:cs="Arial" w:eastAsia="Arial"/>
          <w:color w:val="252525"/>
          <w:sz w:val="72"/>
        </w:rPr>
        <w:t>₀</w:t>
      </w:r>
      <w:r>
        <w:rPr>
          <w:rFonts w:ascii="Arial" w:hAnsi="Arial" w:cs="Arial" w:eastAsia="Arial"/>
          <w:color w:val="252525"/>
          <w:sz w:val="72"/>
        </w:rPr>
        <w:t xml:space="preserve"> = 15 atomic mass units — calibrated from the solar system r-process abundance pattern.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Allowed range:</w:t>
      </w:r>
      <w:r>
        <w:rPr>
          <w:rFonts w:ascii="Arial" w:hAnsi="Arial" w:cs="Arial" w:eastAsia="Arial"/>
          <w:color w:val="252525"/>
          <w:sz w:val="72"/>
        </w:rPr>
        <w:t xml:space="preserve"> 10 to 25 atomic mass units — bounded below by the requirement that first-peak 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process elements (A ≈ 80 to 90) receive significant yield for M</w:t>
      </w:r>
      <w:r>
        <w:rPr>
          <w:rFonts w:ascii="Arial" w:hAnsi="Arial" w:cs="Arial" w:eastAsia="Arial"/>
          <w:color w:val="252525"/>
          <w:sz w:val="72"/>
        </w:rPr>
        <w:t>ₛ</w:t>
      </w:r>
      <w:r>
        <w:rPr>
          <w:rFonts w:ascii="Arial" w:hAnsi="Arial" w:cs="Arial" w:eastAsia="Arial"/>
          <w:color w:val="252525"/>
          <w:sz w:val="72"/>
        </w:rPr>
        <w:t xml:space="preserve"> = 8 solar mass progenitors, and bounded above by the requirement that gold and uranium yields are not overproduced relative to solar system observations.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Primary data stream: </w:t>
      </w:r>
      <w:r>
        <w:rPr>
          <w:rFonts w:ascii="Arial" w:hAnsi="Arial" w:cs="Arial" w:eastAsia="Arial"/>
          <w:color w:val="252525"/>
          <w:sz w:val="72"/>
        </w:rPr>
        <w:t>High-precision r-process element abundance measurements in metal-poor halo stars — specifically the [Eu/Sr] and [Ba/Sr] ratios which probe the second-to-first peak yield ratio and constrain λ</w:t>
      </w:r>
      <w:r>
        <w:rPr>
          <w:rFonts w:ascii="Arial" w:hAnsi="Arial" w:cs="Arial" w:eastAsia="Arial"/>
          <w:color w:val="252525"/>
          <w:sz w:val="72"/>
        </w:rPr>
        <w:t>₀</w:t>
      </w:r>
      <w:r>
        <w:rPr>
          <w:rFonts w:ascii="Arial" w:hAnsi="Arial" w:cs="Arial" w:eastAsia="Arial"/>
          <w:color w:val="252525"/>
          <w:sz w:val="72"/>
        </w:rPr>
        <w:t xml:space="preserve"> directly.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Improvement mechanism:</w:t>
      </w:r>
      <w:r>
        <w:rPr>
          <w:rFonts w:ascii="Arial" w:hAnsi="Arial" w:cs="Arial" w:eastAsia="Arial"/>
          <w:color w:val="252525"/>
          <w:sz w:val="72"/>
        </w:rPr>
        <w:t xml:space="preserve"> Each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new metal-poor star r-process abundance measurement updates the posterior on λ</w:t>
      </w:r>
      <w:r>
        <w:rPr>
          <w:rFonts w:ascii="Arial" w:hAnsi="Arial" w:cs="Arial" w:eastAsia="Arial"/>
          <w:color w:val="252525"/>
          <w:sz w:val="72"/>
        </w:rPr>
        <w:t>₀</w:t>
      </w:r>
      <w:r>
        <w:rPr>
          <w:rFonts w:ascii="Arial" w:hAnsi="Arial" w:cs="Arial" w:eastAsia="Arial"/>
          <w:color w:val="252525"/>
          <w:sz w:val="72"/>
        </w:rPr>
        <w:t xml:space="preserve"> through the BSFM abundance curve library chi-squared fit.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Calibration Parameter 2</w:t>
      </w:r>
      <w:r>
        <w:rPr>
          <w:rFonts w:ascii="Arial" w:hAnsi="Arial" w:cs="Arial" w:eastAsia="Arial"/>
          <w:color w:val="252525"/>
          <w:sz w:val="72"/>
        </w:rPr>
        <w:t xml:space="preserve"> — Zone B Shock Transmission Efficiency η_shock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The fraction of Zone A energy that reaches the silicon plasma boundary after losses to neutrino emission and radiation in the Zone B transit — used in Module 2 of the abundance curve library. Initial value: η_shock = 0.85.</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Allowed range: </w:t>
      </w:r>
      <w:r>
        <w:rPr>
          <w:rFonts w:ascii="Arial" w:hAnsi="Arial" w:cs="Arial" w:eastAsia="Arial"/>
          <w:color w:val="252525"/>
          <w:sz w:val="72"/>
        </w:rPr>
        <w:t>0.70 to 0.95 — bounded by the requirement that Zone B efficiency predictions are consistent with observed iron-to-silicon ratios in supernova remnants.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Primary data stream:</w:t>
      </w:r>
      <w:r>
        <w:rPr>
          <w:rFonts w:ascii="Arial" w:hAnsi="Arial" w:cs="Arial" w:eastAsia="Arial"/>
          <w:color w:val="252525"/>
          <w:sz w:val="72"/>
        </w:rPr>
        <w:t xml:space="preserve"> Iron-to-silicon emission line ratios in young supernova remnants — specifically Cassiopeia A Chandra spectral maps. Also rocky exoplanet iron fraction measurements from TESS plus JWST.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Improvement mechanism:</w:t>
      </w:r>
      <w:r>
        <w:rPr>
          <w:rFonts w:ascii="Arial" w:hAnsi="Arial" w:cs="Arial" w:eastAsia="Arial"/>
          <w:color w:val="252525"/>
          <w:sz w:val="72"/>
        </w:rPr>
        <w:t xml:space="preserve"> Each new Chandra observation of a young remnant with resolved iron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and silicon emission centroids, and each new JWST rocky exoplanet mass-radius measurement with inferred iron fraction, updates the posterior on η_shock through the Chapter 12 prediction framework.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Calibration Parameter 3</w:t>
      </w:r>
      <w:r>
        <w:rPr>
          <w:rFonts w:ascii="Arial" w:hAnsi="Arial" w:cs="Arial" w:eastAsia="Arial"/>
          <w:color w:val="252525"/>
          <w:sz w:val="72"/>
        </w:rPr>
        <w:t xml:space="preserve"> — Gravitational Capture Efficiency ξ</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 xml:space="preserve">The fraction of total nebular mass captured into the rocky bodies of a second-generation planetary system — the conversion factor between nebular elemental abundances and planetary bulk compositions. From Addendum 15 Step 1: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M_ejected(i) = M_local(i)/ξ.</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Initial estimate:</w:t>
      </w:r>
      <w:r>
        <w:rPr>
          <w:rFonts w:ascii="Arial" w:hAnsi="Arial" w:cs="Arial" w:eastAsia="Arial"/>
          <w:color w:val="252525"/>
          <w:sz w:val="72"/>
        </w:rPr>
        <w:t xml:space="preserve"> ξ = </w:t>
      </w:r>
      <w:r>
        <w:rPr>
          <w:rFonts w:ascii="Arial" w:hAnsi="Arial" w:cs="Arial" w:eastAsia="Arial"/>
          <w:color w:val="252525"/>
          <w:sz w:val="72"/>
        </w:rPr>
        <w:t>0.05</w:t>
      </w:r>
      <w:r>
        <w:rPr>
          <w:rFonts w:ascii="Arial" w:hAnsi="Arial" w:cs="Arial" w:eastAsia="Arial"/>
          <w:color w:val="252525"/>
          <w:sz w:val="72"/>
        </w:rPr>
        <w:t xml:space="preserve"> for the solar system — calibrated from the ratio of terrestrial planet plus asteroid belt mass to estimated solar nebula mass.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Allowed range:</w:t>
      </w:r>
      <w:r>
        <w:rPr>
          <w:rFonts w:ascii="Arial" w:hAnsi="Arial" w:cs="Arial" w:eastAsia="Arial"/>
          <w:color w:val="252525"/>
          <w:sz w:val="72"/>
        </w:rPr>
        <w:t xml:space="preserve"> </w:t>
      </w:r>
      <w:r>
        <w:rPr>
          <w:rFonts w:ascii="Arial" w:hAnsi="Arial" w:cs="Arial" w:eastAsia="Arial"/>
          <w:color w:val="252525"/>
          <w:sz w:val="72"/>
        </w:rPr>
        <w:t>0.01</w:t>
      </w:r>
      <w:r>
        <w:rPr>
          <w:rFonts w:ascii="Arial" w:hAnsi="Arial" w:cs="Arial" w:eastAsia="Arial"/>
          <w:color w:val="252525"/>
          <w:sz w:val="72"/>
        </w:rPr>
        <w:t xml:space="preserve"> to </w:t>
      </w:r>
      <w:r>
        <w:rPr>
          <w:rFonts w:ascii="Arial" w:hAnsi="Arial" w:cs="Arial" w:eastAsia="Arial"/>
          <w:color w:val="252525"/>
          <w:sz w:val="72"/>
        </w:rPr>
        <w:t>0.20</w:t>
      </w:r>
      <w:r>
        <w:rPr>
          <w:rFonts w:ascii="Arial" w:hAnsi="Arial" w:cs="Arial" w:eastAsia="Arial"/>
          <w:color w:val="252525"/>
          <w:sz w:val="72"/>
        </w:rPr>
        <w:t xml:space="preserve"> — reflecting the observed range of rocky planet mass fractions in exoplanetary systems relative to stellar disc masses.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Primary data stream: </w:t>
      </w:r>
      <w:r>
        <w:rPr>
          <w:rFonts w:ascii="Arial" w:hAnsi="Arial" w:cs="Arial" w:eastAsia="Arial"/>
          <w:color w:val="252525"/>
          <w:sz w:val="72"/>
        </w:rPr>
        <w:t xml:space="preserve">Rocky exoplanet mass and radius measurements from TESS and JWST combined with stellar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metallicity from high-resolution spectroscopy. For each system ξ can be estimated from the ratio of inferred planetary iron mass to stellar iron abundance.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Improvement mechanism: </w:t>
      </w:r>
      <w:r>
        <w:rPr>
          <w:rFonts w:ascii="Arial" w:hAnsi="Arial" w:cs="Arial" w:eastAsia="Arial"/>
          <w:color w:val="252525"/>
          <w:sz w:val="72"/>
        </w:rPr>
        <w:t>Each new characterized rocky exoplanet system provides an independent estimate of ξ appropriate to that system. As the sample grows the distribution of ξ values is constrained — reducing the systematic uncertainty in forensic inversion results that depend on ξ.</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Calibration Parameter 4</w:t>
      </w:r>
      <w:r>
        <w:rPr>
          <w:rFonts w:ascii="Arial" w:hAnsi="Arial" w:cs="Arial" w:eastAsia="Arial"/>
          <w:color w:val="252525"/>
          <w:sz w:val="72"/>
        </w:rPr>
        <w:t xml:space="preserve"> — Condensation Temperature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Correction Factors f_cond(Z)</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 xml:space="preserve">Element-specific correction factors that account for the preferential retention of refractory elements (high condensation temperature) over volatile elements (low condensation temperature) during planetary system formation. From Section </w:t>
      </w:r>
      <w:r>
        <w:rPr>
          <w:rFonts w:ascii="Arial" w:hAnsi="Arial" w:cs="Arial" w:eastAsia="Arial"/>
          <w:color w:val="252525"/>
          <w:sz w:val="72"/>
        </w:rPr>
        <w:t>15.3</w:t>
      </w:r>
      <w:r>
        <w:rPr>
          <w:rFonts w:ascii="Arial" w:hAnsi="Arial" w:cs="Arial" w:eastAsia="Arial"/>
          <w:color w:val="252525"/>
          <w:sz w:val="72"/>
        </w:rPr>
        <w:t xml:space="preserve"> Step 1: applied to each element Z before the mass budget calculation.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Initial estimates: </w:t>
      </w:r>
      <w:r>
        <w:rPr>
          <w:rFonts w:ascii="Arial" w:hAnsi="Arial" w:cs="Arial" w:eastAsia="Arial"/>
          <w:color w:val="252525"/>
          <w:sz w:val="72"/>
        </w:rPr>
        <w:t xml:space="preserve">Standard condensation temperature sequence from Lodders 2003 — established to 10 to 20 percent accuracy for most elements, worse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for trace elements.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Allowed range: </w:t>
      </w:r>
      <w:r>
        <w:rPr>
          <w:rFonts w:ascii="Arial" w:hAnsi="Arial" w:cs="Arial" w:eastAsia="Arial"/>
          <w:color w:val="252525"/>
          <w:sz w:val="72"/>
        </w:rPr>
        <w:t>Element-specific — constrained by the requirement that the corrected solar system abundance pattern maps onto a single (M</w:t>
      </w:r>
      <w:r>
        <w:rPr>
          <w:rFonts w:ascii="Arial" w:hAnsi="Arial" w:cs="Arial" w:eastAsia="Arial"/>
          <w:color w:val="252525"/>
          <w:sz w:val="72"/>
        </w:rPr>
        <w:t>ₛ</w:t>
      </w:r>
      <w:r>
        <w:rPr>
          <w:rFonts w:ascii="Arial" w:hAnsi="Arial" w:cs="Arial" w:eastAsia="Arial"/>
          <w:color w:val="252525"/>
          <w:sz w:val="72"/>
        </w:rPr>
        <w:t>, a_*) library grid point within chi-squared tolerance.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Primary data stream: </w:t>
      </w:r>
      <w:r>
        <w:rPr>
          <w:rFonts w:ascii="Arial" w:hAnsi="Arial" w:cs="Arial" w:eastAsia="Arial"/>
          <w:color w:val="252525"/>
          <w:sz w:val="72"/>
        </w:rPr>
        <w:t>High-precision meteoritic mass spectrometry — specifically the improvement of condensation temperature measurements for trace elements from studies of calcium-aluminum-rich inclusions in carbonaceous chondrites.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Improvement mechanism:</w:t>
      </w:r>
      <w:r>
        <w:rPr>
          <w:rFonts w:ascii="Arial" w:hAnsi="Arial" w:cs="Arial" w:eastAsia="Arial"/>
          <w:color w:val="252525"/>
          <w:sz w:val="72"/>
        </w:rPr>
        <w:t xml:space="preserve"> Each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new precision measurement of a trace element condensation temperature reduces the uncertainty in f_cond(Z) for that element — improving the forensic inversion precision for systems where that element is a diagnostic.</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Calibration Parameter 5</w:t>
      </w:r>
      <w:r>
        <w:rPr>
          <w:rFonts w:ascii="Arial" w:hAnsi="Arial" w:cs="Arial" w:eastAsia="Arial"/>
          <w:color w:val="252525"/>
          <w:sz w:val="72"/>
        </w:rPr>
        <w:t xml:space="preserve"> — Merger TIFE Solid Angle Ω_merger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Definition: </w:t>
      </w:r>
      <w:r>
        <w:rPr>
          <w:rFonts w:ascii="Arial" w:hAnsi="Arial" w:cs="Arial" w:eastAsia="Arial"/>
          <w:color w:val="252525"/>
          <w:sz w:val="72"/>
        </w:rPr>
        <w:t xml:space="preserve">The effective solid angle of the binary neutron star merger interface — determines η_merger through the Chapter 16 topology-corrected boundary impedance constant. From Section </w:t>
      </w:r>
      <w:r>
        <w:rPr>
          <w:rFonts w:ascii="Arial" w:hAnsi="Arial" w:cs="Arial" w:eastAsia="Arial"/>
          <w:color w:val="252525"/>
          <w:sz w:val="72"/>
        </w:rPr>
        <w:t>16.6</w:t>
      </w:r>
      <w:r>
        <w:rPr>
          <w:rFonts w:ascii="Arial" w:hAnsi="Arial" w:cs="Arial" w:eastAsia="Arial"/>
          <w:color w:val="252525"/>
          <w:sz w:val="72"/>
        </w:rPr>
        <w:t>: η_merger = 2/</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(Ω_merger × D_spatial).</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Initial estimate:</w:t>
      </w:r>
      <w:r>
        <w:rPr>
          <w:rFonts w:ascii="Arial" w:hAnsi="Arial" w:cs="Arial" w:eastAsia="Arial"/>
          <w:color w:val="252525"/>
          <w:sz w:val="72"/>
        </w:rPr>
        <w:t xml:space="preserve"> Ω_merger in the range 2π to 6π — corresponding to η_merger in the range (2⅔)η to 2η.</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Allowed range:</w:t>
      </w:r>
      <w:r>
        <w:rPr>
          <w:rFonts w:ascii="Arial" w:hAnsi="Arial" w:cs="Arial" w:eastAsia="Arial"/>
          <w:color w:val="252525"/>
          <w:sz w:val="72"/>
        </w:rPr>
        <w:t xml:space="preserve"> π to 8π — reflecting the range of plausible merger geometries from near head-on (approximately spherical, Ω → 4π) to highly off-axis (strongly toroidal, Ω → 2π or below).</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Primary data stream:</w:t>
      </w:r>
      <w:r>
        <w:rPr>
          <w:rFonts w:ascii="Arial" w:hAnsi="Arial" w:cs="Arial" w:eastAsia="Arial"/>
          <w:color w:val="252525"/>
          <w:sz w:val="72"/>
        </w:rPr>
        <w:t xml:space="preserve"> Future kilonova observations from binary neutron star merger detections. The kilonova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luminosity and spectral evolution constrain the total r-process mass — which through the merger TIFE prediction constrains η_merger — which constrains Ω_merger.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Improvement mechanism:</w:t>
      </w:r>
      <w:r>
        <w:rPr>
          <w:rFonts w:ascii="Arial" w:hAnsi="Arial" w:cs="Arial" w:eastAsia="Arial"/>
          <w:color w:val="252525"/>
          <w:sz w:val="72"/>
        </w:rPr>
        <w:t xml:space="preserve"> Each new kilonova observation with well-characterized r-process mass provides an independent estimate of η_merger. As the kilonova sample grows Ω_merger is constrained — potentially resolving whether the merger TIFE operates at η exactly (Ω_merger = 4π) or at a topology-corrected value.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26.3</w:t>
      </w:r>
      <w:r>
        <w:rPr>
          <w:rFonts w:ascii="Arial" w:hAnsi="Arial" w:cs="Arial" w:eastAsia="Arial"/>
          <w:b w:val="true"/>
          <w:color w:val="252525"/>
          <w:sz w:val="72"/>
        </w:rPr>
        <w:t xml:space="preserve"> — THE BAYESIAN UPDATE MECHANISM</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recursive improvement framework is implemented as a sequential Bayesian update. The mathematical structure is identical to the Bayesian Constraint Engine of Architecture of Collapse Section </w:t>
      </w:r>
      <w:r>
        <w:rPr>
          <w:rFonts w:ascii="Arial" w:hAnsi="Arial" w:cs="Arial" w:eastAsia="Arial"/>
          <w:color w:val="252525"/>
          <w:sz w:val="72"/>
        </w:rPr>
        <w:t>2.18</w:t>
      </w:r>
      <w:r>
        <w:rPr>
          <w:rFonts w:ascii="Arial" w:hAnsi="Arial" w:cs="Arial" w:eastAsia="Arial"/>
          <w:color w:val="252525"/>
          <w:sz w:val="72"/>
        </w:rPr>
        <w:t xml:space="preserve"> — the same code infrastructure handles both stellar structure constraint and calibration parameter improvement.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prior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initial prior over calibration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parameters θ = {λ</w:t>
      </w:r>
      <w:r>
        <w:rPr>
          <w:rFonts w:ascii="Arial" w:hAnsi="Arial" w:cs="Arial" w:eastAsia="Arial"/>
          <w:color w:val="252525"/>
          <w:sz w:val="72"/>
        </w:rPr>
        <w:t>₀</w:t>
      </w:r>
      <w:r>
        <w:rPr>
          <w:rFonts w:ascii="Arial" w:hAnsi="Arial" w:cs="Arial" w:eastAsia="Arial"/>
          <w:color w:val="252525"/>
          <w:sz w:val="72"/>
        </w:rPr>
        <w:t>, η_shock, ξ, f_cond, Ω_merger} is a multivariate Gaussian with means and widths set by the initial estimates and allowed ranges: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₀</w:t>
      </w:r>
      <w:r>
        <w:rPr>
          <w:rFonts w:ascii="Arial" w:hAnsi="Arial" w:cs="Arial" w:eastAsia="Arial"/>
          <w:color w:val="252525"/>
          <w:sz w:val="72"/>
        </w:rPr>
        <w:t>(θ) = N(θ; μ</w:t>
      </w:r>
      <w:r>
        <w:rPr>
          <w:rFonts w:ascii="Arial" w:hAnsi="Arial" w:cs="Arial" w:eastAsia="Arial"/>
          <w:color w:val="252525"/>
          <w:sz w:val="72"/>
        </w:rPr>
        <w:t>₀</w:t>
      </w:r>
      <w:r>
        <w:rPr>
          <w:rFonts w:ascii="Arial" w:hAnsi="Arial" w:cs="Arial" w:eastAsia="Arial"/>
          <w:color w:val="252525"/>
          <w:sz w:val="72"/>
        </w:rPr>
        <w:t>, Σ</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Where μ</w:t>
      </w:r>
      <w:r>
        <w:rPr>
          <w:rFonts w:ascii="Arial" w:hAnsi="Arial" w:cs="Arial" w:eastAsia="Arial"/>
          <w:color w:val="252525"/>
          <w:sz w:val="72"/>
        </w:rPr>
        <w:t>₀</w:t>
      </w:r>
      <w:r>
        <w:rPr>
          <w:rFonts w:ascii="Arial" w:hAnsi="Arial" w:cs="Arial" w:eastAsia="Arial"/>
          <w:color w:val="252525"/>
          <w:sz w:val="72"/>
        </w:rPr>
        <w:t xml:space="preserve"> is the vector of initial estimates and Σ</w:t>
      </w:r>
      <w:r>
        <w:rPr>
          <w:rFonts w:ascii="Arial" w:hAnsi="Arial" w:cs="Arial" w:eastAsia="Arial"/>
          <w:color w:val="252525"/>
          <w:sz w:val="72"/>
        </w:rPr>
        <w:t>₀</w:t>
      </w:r>
      <w:r>
        <w:rPr>
          <w:rFonts w:ascii="Arial" w:hAnsi="Arial" w:cs="Arial" w:eastAsia="Arial"/>
          <w:color w:val="252525"/>
          <w:sz w:val="72"/>
        </w:rPr>
        <w:t xml:space="preserve"> is the initial covariance matrix — diagonal with widths set by the allowed ranges.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likelihood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For each new data point d — a metal-poor star abundance measurement, a supernova remnant spectral ratio, a rocky exoplanet mass-radius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measurement, or a kilonova r-process mass inference — the likelihood function: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L(d | θ) = P[d | BSFM predictions(θ]</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Is the probability of observing the data d given the BSFM predictions computed with calibration parameter values θ. For a chi-squared comparison between observed and predicted abundances:</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L(d | θ)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exp{-χ²[d, predictions(θ)]/2}</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posterior update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After each new data point the posterior is updated by Bayes' theorem:</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ₙ</w:t>
      </w:r>
      <w:r>
        <w:rPr>
          <w:rFonts w:ascii="Arial" w:hAnsi="Arial" w:cs="Arial" w:eastAsia="Arial"/>
          <w:color w:val="252525"/>
          <w:sz w:val="72"/>
        </w:rPr>
        <w:t>(θ | d_1...d_n) ∝ L(d_n | θ) ×</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P</w:t>
      </w:r>
      <w:r>
        <w:rPr>
          <w:rFonts w:ascii="Arial" w:hAnsi="Arial" w:cs="Arial" w:eastAsia="Arial"/>
          <w:color w:val="252525"/>
          <w:sz w:val="72"/>
        </w:rPr>
        <w:t>₍</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[θ | d_1...d_(n-1)]</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sequential update requires no re-processing of old data — each new observation multiplicatively updates the posterior using only its own likelihood. This is computationally efficient and allows real-time improvement as new observations arrive.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improvement metric</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Improvement is measured as the reduction in posterior width — the trace of the posterior covariance matrix Σ</w:t>
      </w:r>
      <w:r>
        <w:rPr>
          <w:rFonts w:ascii="Arial" w:hAnsi="Arial" w:cs="Arial" w:eastAsia="Arial"/>
          <w:color w:val="252525"/>
          <w:sz w:val="72"/>
        </w:rPr>
        <w:t>ₙ</w:t>
      </w:r>
      <w:r>
        <w:rPr>
          <w:rFonts w:ascii="Arial" w:hAnsi="Arial" w:cs="Arial" w:eastAsia="Arial"/>
          <w:color w:val="252525"/>
          <w:sz w:val="72"/>
        </w:rPr>
        <w:t xml:space="preserve"> relative to the initial covariance Σ</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I</w:t>
      </w:r>
      <w:r>
        <w:rPr>
          <w:rFonts w:ascii="Arial" w:hAnsi="Arial" w:cs="Arial" w:eastAsia="Arial"/>
          <w:color w:val="252525"/>
          <w:sz w:val="72"/>
        </w:rPr>
        <w:t>ₙ</w:t>
      </w:r>
      <w:r>
        <w:rPr>
          <w:rFonts w:ascii="Arial" w:hAnsi="Arial" w:cs="Arial" w:eastAsia="Arial"/>
          <w:color w:val="252525"/>
          <w:sz w:val="72"/>
        </w:rPr>
        <w:t xml:space="preserve"> = 1 - tr(Σ</w:t>
      </w:r>
      <w:r>
        <w:rPr>
          <w:rFonts w:ascii="Arial" w:hAnsi="Arial" w:cs="Arial" w:eastAsia="Arial"/>
          <w:color w:val="252525"/>
          <w:sz w:val="72"/>
        </w:rPr>
        <w:t>ₙ</w:t>
      </w:r>
      <w:r>
        <w:rPr>
          <w:rFonts w:ascii="Arial" w:hAnsi="Arial" w:cs="Arial" w:eastAsia="Arial"/>
          <w:color w:val="252525"/>
          <w:sz w:val="72"/>
        </w:rPr>
        <w:t>) / tr(Σ</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w:t>
      </w:r>
      <w:r>
        <w:rPr>
          <w:rFonts w:ascii="Arial" w:hAnsi="Arial" w:cs="Arial" w:eastAsia="Arial"/>
          <w:color w:val="252525"/>
          <w:sz w:val="72"/>
        </w:rPr>
        <w:t>ₙ</w:t>
      </w:r>
      <w:r>
        <w:rPr>
          <w:rFonts w:ascii="Arial" w:hAnsi="Arial" w:cs="Arial" w:eastAsia="Arial"/>
          <w:color w:val="252525"/>
          <w:sz w:val="72"/>
        </w:rPr>
        <w:t xml:space="preserve"> = 0 means no improvement from the prior. I</w:t>
      </w:r>
      <w:r>
        <w:rPr>
          <w:rFonts w:ascii="Arial" w:hAnsi="Arial" w:cs="Arial" w:eastAsia="Arial"/>
          <w:color w:val="252525"/>
          <w:sz w:val="72"/>
        </w:rPr>
        <w:t>ₙ</w:t>
      </w:r>
      <w:r>
        <w:rPr>
          <w:rFonts w:ascii="Arial" w:hAnsi="Arial" w:cs="Arial" w:eastAsia="Arial"/>
          <w:color w:val="252525"/>
          <w:sz w:val="72"/>
        </w:rPr>
        <w:t xml:space="preserve"> = 1 means perfect constraint — all calibration parameters exactly determined. In practice I</w:t>
      </w:r>
      <w:r>
        <w:rPr>
          <w:rFonts w:ascii="Arial" w:hAnsi="Arial" w:cs="Arial" w:eastAsia="Arial"/>
          <w:color w:val="252525"/>
          <w:sz w:val="72"/>
        </w:rPr>
        <w:t>ₙ</w:t>
      </w:r>
      <w:r>
        <w:rPr>
          <w:rFonts w:ascii="Arial" w:hAnsi="Arial" w:cs="Arial" w:eastAsia="Arial"/>
          <w:color w:val="252525"/>
          <w:sz w:val="72"/>
        </w:rPr>
        <w:t xml:space="preserve"> will approach an asymptotic value below 1 as the data runs out of information about the remaining uncertainty in the calibration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version release is triggered when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 xml:space="preserve">I_n increases by </w:t>
      </w:r>
      <w:r>
        <w:rPr>
          <w:rFonts w:ascii="Arial" w:hAnsi="Arial" w:cs="Arial" w:eastAsia="Arial"/>
          <w:color w:val="252525"/>
          <w:sz w:val="72"/>
        </w:rPr>
        <w:t>0.05</w:t>
      </w:r>
      <w:r>
        <w:rPr>
          <w:rFonts w:ascii="Arial" w:hAnsi="Arial" w:cs="Arial" w:eastAsia="Arial"/>
          <w:color w:val="252525"/>
          <w:sz w:val="72"/>
        </w:rPr>
        <w:t xml:space="preserve"> or more — a 5 percent improvement in the total posterior precision — from the previous release value.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Drift detection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 posterior mean shift is flagged as a potential model inadequacy rather than improvement when:</w:t>
      </w:r>
    </w:p>
    <w:p>
      <w:pPr>
        <w:spacing w:line="270" w:lineRule="auto" w:after="0" w:before="0"/>
        <w:ind w:right="0" w:left="0"/>
        <w:rPr>
          <w:rFonts w:ascii="Arial" w:hAnsi="Arial" w:cs="Arial"/>
          <w:sz w:val="72"/>
        </w:rPr>
      </w:pPr>
      <w:r/>
    </w:p>
    <w:p>
      <w:pPr>
        <w:spacing w:line="240" w:lineRule="auto" w:after="0" w:before="0"/>
        <w:ind w:right="0" w:left="0"/>
        <w:jc w:val="center"/>
      </w:pPr>
      <w:r>
        <w:rPr>
          <w:rFonts w:ascii="Arial" w:hAnsi="Arial" w:cs="Arial" w:eastAsia="Arial"/>
          <w:color w:val="252525"/>
          <w:sz w:val="72"/>
        </w:rPr>
        <w:t>|μ</w:t>
      </w:r>
      <w:r>
        <w:rPr>
          <w:rFonts w:ascii="Arial" w:hAnsi="Arial" w:cs="Arial" w:eastAsia="Arial"/>
          <w:color w:val="252525"/>
          <w:sz w:val="72"/>
        </w:rPr>
        <w:t>ₙ</w:t>
      </w:r>
      <w:r>
        <w:rPr>
          <w:rFonts w:ascii="Arial" w:hAnsi="Arial" w:cs="Arial" w:eastAsia="Arial"/>
          <w:color w:val="252525"/>
          <w:sz w:val="72"/>
        </w:rPr>
        <w:t xml:space="preserve"> - μ</w:t>
      </w:r>
      <w:r>
        <w:rPr>
          <w:rFonts w:ascii="Arial" w:hAnsi="Arial" w:cs="Arial" w:eastAsia="Arial"/>
          <w:color w:val="252525"/>
          <w:sz w:val="72"/>
        </w:rPr>
        <w:t>₍</w:t>
      </w:r>
      <w:r>
        <w:rPr>
          <w:rFonts w:ascii="Arial" w:hAnsi="Arial" w:cs="Arial" w:eastAsia="Arial"/>
          <w:color w:val="252525"/>
          <w:sz w:val="72"/>
        </w:rPr>
        <w:t>ₙ</w:t>
      </w:r>
      <w:r>
        <w:rPr>
          <w:rFonts w:ascii="Arial" w:hAnsi="Arial" w:cs="Arial" w:eastAsia="Arial"/>
          <w:color w:val="252525"/>
          <w:sz w:val="72"/>
        </w:rPr>
        <w:t>₋</w:t>
      </w:r>
      <w:r>
        <w:rPr>
          <w:rFonts w:ascii="Arial" w:hAnsi="Arial" w:cs="Arial" w:eastAsia="Arial"/>
          <w:color w:val="252525"/>
          <w:sz w:val="72"/>
        </w:rPr>
        <w:t>₁</w:t>
      </w:r>
      <w:r>
        <w:rPr>
          <w:rFonts w:ascii="Arial" w:hAnsi="Arial" w:cs="Arial" w:eastAsia="Arial"/>
          <w:color w:val="252525"/>
          <w:sz w:val="72"/>
        </w:rPr>
        <w:t>₎</w:t>
      </w:r>
      <w:r>
        <w:rPr>
          <w:rFonts w:ascii="Arial" w:hAnsi="Arial" w:cs="Arial" w:eastAsia="Arial"/>
          <w:color w:val="252525"/>
          <w:sz w:val="72"/>
        </w:rPr>
        <w:t>| &gt; 2 × √(Σ</w:t>
      </w:r>
      <w:r>
        <w:rPr>
          <w:rFonts w:ascii="Arial" w:hAnsi="Arial" w:cs="Arial" w:eastAsia="Arial"/>
          <w:color w:val="252525"/>
          <w:sz w:val="72"/>
        </w:rPr>
        <w:t>ₙ</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posterior mean has shifted by more than 2 standard deviations of the updated posterior. This indicates that the new data is inconsistent with the current calibration at 2 sigma — signaling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either a measurement outlier or a genuine model inadequacy that requires investigation.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Drift detection does not automatically trigger a model revision. It triggers a diagnostic review — an examination of whether the inconsistent data is an outlier or a genuine challenge to the framework. If multiple independent data points show the same drift direction the probability of a systematic model inadequacy increases and a formal framework review is initiated.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26.4 — THE DATA STREAMS AND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THEIR IMPROVEMENT CONTRIBUTIONS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recursive improvement framework draws from five data streams operating on different timescales and contributing to different calibration parameters.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Data Stream 1</w:t>
      </w:r>
      <w:r>
        <w:rPr>
          <w:rFonts w:ascii="Arial" w:hAnsi="Arial" w:cs="Arial" w:eastAsia="Arial"/>
          <w:color w:val="252525"/>
          <w:sz w:val="72"/>
        </w:rPr>
        <w:t xml:space="preserve"> — Metal-Poor Star Spectroscopy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Primary calibration targets:</w:t>
      </w:r>
      <w:r>
        <w:rPr>
          <w:rFonts w:ascii="Arial" w:hAnsi="Arial" w:cs="Arial" w:eastAsia="Arial"/>
          <w:color w:val="252525"/>
          <w:sz w:val="72"/>
        </w:rPr>
        <w:t xml:space="preserve"> λ</w:t>
      </w:r>
      <w:r>
        <w:rPr>
          <w:rFonts w:ascii="Arial" w:hAnsi="Arial" w:cs="Arial" w:eastAsia="Arial"/>
          <w:color w:val="252525"/>
          <w:sz w:val="72"/>
        </w:rPr>
        <w:t>₀</w:t>
      </w:r>
      <w:r>
        <w:rPr>
          <w:rFonts w:ascii="Arial" w:hAnsi="Arial" w:cs="Arial" w:eastAsia="Arial"/>
          <w:color w:val="252525"/>
          <w:sz w:val="72"/>
        </w:rPr>
        <w:t>, f_cond(r-process elements)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Current data volume:</w:t>
      </w:r>
      <w:r>
        <w:rPr>
          <w:rFonts w:ascii="Arial" w:hAnsi="Arial" w:cs="Arial" w:eastAsia="Arial"/>
          <w:color w:val="252525"/>
          <w:sz w:val="72"/>
        </w:rPr>
        <w:t xml:space="preserve"> approximately 500 r-process-element metal-poor stars with Eu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Sr Ba and Fe measurements from R-Process Alliance GALAH and SAGA database.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Projected improvement from current data:</w:t>
      </w:r>
      <w:r>
        <w:rPr>
          <w:rFonts w:ascii="Arial" w:hAnsi="Arial" w:cs="Arial" w:eastAsia="Arial"/>
          <w:color w:val="252525"/>
          <w:sz w:val="72"/>
        </w:rPr>
        <w:t xml:space="preserve"> The existing 500-star sample provides approximately I = </w:t>
      </w:r>
      <w:r>
        <w:rPr>
          <w:rFonts w:ascii="Arial" w:hAnsi="Arial" w:cs="Arial" w:eastAsia="Arial"/>
          <w:color w:val="252525"/>
          <w:sz w:val="72"/>
        </w:rPr>
        <w:t>0.35</w:t>
      </w:r>
      <w:r>
        <w:rPr>
          <w:rFonts w:ascii="Arial" w:hAnsi="Arial" w:cs="Arial" w:eastAsia="Arial"/>
          <w:color w:val="252525"/>
          <w:sz w:val="72"/>
        </w:rPr>
        <w:t xml:space="preserve"> — 35 percent improvement from the prior on λ</w:t>
      </w:r>
      <w:r>
        <w:rPr>
          <w:rFonts w:ascii="Arial" w:hAnsi="Arial" w:cs="Arial" w:eastAsia="Arial"/>
          <w:color w:val="252525"/>
          <w:sz w:val="72"/>
        </w:rPr>
        <w:t>₀</w:t>
      </w:r>
      <w:r>
        <w:rPr>
          <w:rFonts w:ascii="Arial" w:hAnsi="Arial" w:cs="Arial" w:eastAsia="Arial"/>
          <w:color w:val="252525"/>
          <w:sz w:val="72"/>
        </w:rPr>
        <w:t>. The posterior on λ</w:t>
      </w:r>
      <w:r>
        <w:rPr>
          <w:rFonts w:ascii="Arial" w:hAnsi="Arial" w:cs="Arial" w:eastAsia="Arial"/>
          <w:color w:val="252525"/>
          <w:sz w:val="72"/>
        </w:rPr>
        <w:t>₀</w:t>
      </w:r>
      <w:r>
        <w:rPr>
          <w:rFonts w:ascii="Arial" w:hAnsi="Arial" w:cs="Arial" w:eastAsia="Arial"/>
          <w:color w:val="252525"/>
          <w:sz w:val="72"/>
        </w:rPr>
        <w:t xml:space="preserve"> narrows from the initial range 10 to 25 atomic mass units to approximately 12 to 19 atomic mass units.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Projected data volume in 5 years:</w:t>
      </w:r>
      <w:r>
        <w:rPr>
          <w:rFonts w:ascii="Arial" w:hAnsi="Arial" w:cs="Arial" w:eastAsia="Arial"/>
          <w:color w:val="252525"/>
          <w:sz w:val="72"/>
        </w:rPr>
        <w:t xml:space="preserve"> approximately 5000 stars from 4MOST and WEAVE spectroscopic surveys —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projecting I ≈ 0.65 improvement on λ</w:t>
      </w:r>
      <w:r>
        <w:rPr>
          <w:rFonts w:ascii="Arial" w:hAnsi="Arial" w:cs="Arial" w:eastAsia="Arial"/>
          <w:color w:val="252525"/>
          <w:sz w:val="72"/>
        </w:rPr>
        <w:t>₀</w:t>
      </w: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Data Stream 2 </w:t>
      </w:r>
      <w:r>
        <w:rPr>
          <w:rFonts w:ascii="Arial" w:hAnsi="Arial" w:cs="Arial" w:eastAsia="Arial"/>
          <w:color w:val="252525"/>
          <w:sz w:val="72"/>
        </w:rPr>
        <w:t>— Supernova Remnant X-ray Spectroscopy</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Primary calibration targets: </w:t>
      </w:r>
      <w:r>
        <w:rPr>
          <w:rFonts w:ascii="Arial" w:hAnsi="Arial" w:cs="Arial" w:eastAsia="Arial"/>
          <w:color w:val="252525"/>
          <w:sz w:val="72"/>
        </w:rPr>
        <w:t>η_shock, f_cond(Fe, Si, O, 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Current data volume: </w:t>
      </w:r>
      <w:r>
        <w:rPr>
          <w:rFonts w:ascii="Arial" w:hAnsi="Arial" w:cs="Arial" w:eastAsia="Arial"/>
          <w:color w:val="252525"/>
          <w:sz w:val="72"/>
        </w:rPr>
        <w:t xml:space="preserve">Chandra spectral maps of approximately 12 young core-collapse remnants including Cassiopeia A Kepler SN </w:t>
      </w:r>
      <w:r>
        <w:rPr>
          <w:rFonts w:ascii="Arial" w:hAnsi="Arial" w:cs="Arial" w:eastAsia="Arial"/>
          <w:color w:val="252525"/>
          <w:sz w:val="72"/>
        </w:rPr>
        <w:t>1987A W49</w:t>
      </w:r>
      <w:r>
        <w:rPr>
          <w:rFonts w:ascii="Arial" w:hAnsi="Arial" w:cs="Arial" w:eastAsia="Arial"/>
          <w:color w:val="252525"/>
          <w:sz w:val="72"/>
        </w:rPr>
        <w:t>B and others. Chandra archival data extends to approximately 20 years of observations.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Projected improvement from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current data: </w:t>
      </w:r>
      <w:r>
        <w:rPr>
          <w:rFonts w:ascii="Arial" w:hAnsi="Arial" w:cs="Arial" w:eastAsia="Arial"/>
          <w:color w:val="252525"/>
          <w:sz w:val="72"/>
        </w:rPr>
        <w:t xml:space="preserve">The existing Chandra archive provides approximately I = </w:t>
      </w:r>
      <w:r>
        <w:rPr>
          <w:rFonts w:ascii="Arial" w:hAnsi="Arial" w:cs="Arial" w:eastAsia="Arial"/>
          <w:color w:val="252525"/>
          <w:sz w:val="72"/>
        </w:rPr>
        <w:t>0.28</w:t>
      </w:r>
      <w:r>
        <w:rPr>
          <w:rFonts w:ascii="Arial" w:hAnsi="Arial" w:cs="Arial" w:eastAsia="Arial"/>
          <w:color w:val="252525"/>
          <w:sz w:val="72"/>
        </w:rPr>
        <w:t xml:space="preserve"> improvement on η_shock — narrowing the posterior from the initial range 0.70 to 0.95 to approximately 0.78 to 0.92.</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Projected data volume in 5 years: </w:t>
      </w:r>
      <w:r>
        <w:rPr>
          <w:rFonts w:ascii="Arial" w:hAnsi="Arial" w:cs="Arial" w:eastAsia="Arial"/>
          <w:color w:val="252525"/>
          <w:sz w:val="72"/>
        </w:rPr>
        <w:t xml:space="preserve">JWST infrared spectroscopy of SN 1987A ejecta and next-generation X-ray observatory (Athena or AXIS) observations of young remnants — projecting I ≈ </w:t>
      </w:r>
      <w:r>
        <w:rPr>
          <w:rFonts w:ascii="Arial" w:hAnsi="Arial" w:cs="Arial" w:eastAsia="Arial"/>
          <w:color w:val="252525"/>
          <w:sz w:val="72"/>
        </w:rPr>
        <w:t>0.55</w:t>
      </w:r>
      <w:r>
        <w:rPr>
          <w:rFonts w:ascii="Arial" w:hAnsi="Arial" w:cs="Arial" w:eastAsia="Arial"/>
          <w:color w:val="252525"/>
          <w:sz w:val="72"/>
        </w:rPr>
        <w:t xml:space="preserve"> improvement on η_shock.</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Data Stream 3 </w:t>
      </w:r>
      <w:r>
        <w:rPr>
          <w:rFonts w:ascii="Arial" w:hAnsi="Arial" w:cs="Arial" w:eastAsia="Arial"/>
          <w:color w:val="252525"/>
          <w:sz w:val="72"/>
        </w:rPr>
        <w:t>— Rocky Exoplanet Compositions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Primary calibration targets: </w:t>
      </w:r>
      <w:r>
        <w:rPr>
          <w:rFonts w:ascii="Arial" w:hAnsi="Arial" w:cs="Arial" w:eastAsia="Arial"/>
          <w:color w:val="252525"/>
          <w:sz w:val="72"/>
        </w:rPr>
        <w:t>ξ, f_cond(Fe, Si, Mg)</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Current data volume: </w:t>
      </w:r>
      <w:r>
        <w:rPr>
          <w:rFonts w:ascii="Arial" w:hAnsi="Arial" w:cs="Arial" w:eastAsia="Arial"/>
          <w:color w:val="252525"/>
          <w:sz w:val="72"/>
        </w:rPr>
        <w:t>approximately 150 rocky exoplanets with measured masses and radii from TESS plus ground-based radial velocity. Iron fraction estimates available for approximately 50 systems with well-determined densities.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Projected improvement from current data: </w:t>
      </w:r>
      <w:r>
        <w:rPr>
          <w:rFonts w:ascii="Arial" w:hAnsi="Arial" w:cs="Arial" w:eastAsia="Arial"/>
          <w:color w:val="252525"/>
          <w:sz w:val="72"/>
        </w:rPr>
        <w:t xml:space="preserve">The existing 50-system sample provides approximately I = </w:t>
      </w:r>
      <w:r>
        <w:rPr>
          <w:rFonts w:ascii="Arial" w:hAnsi="Arial" w:cs="Arial" w:eastAsia="Arial"/>
          <w:color w:val="252525"/>
          <w:sz w:val="72"/>
        </w:rPr>
        <w:t>0.18</w:t>
      </w:r>
      <w:r>
        <w:rPr>
          <w:rFonts w:ascii="Arial" w:hAnsi="Arial" w:cs="Arial" w:eastAsia="Arial"/>
          <w:color w:val="252525"/>
          <w:sz w:val="72"/>
        </w:rPr>
        <w:t xml:space="preserve"> improvement on ξ — the sample is too small for strong constraint. The posterior on ξ narrows from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 xml:space="preserve">the initial range </w:t>
      </w:r>
      <w:r>
        <w:rPr>
          <w:rFonts w:ascii="Arial" w:hAnsi="Arial" w:cs="Arial" w:eastAsia="Arial"/>
          <w:color w:val="252525"/>
          <w:sz w:val="72"/>
        </w:rPr>
        <w:t>0.01</w:t>
      </w:r>
      <w:r>
        <w:rPr>
          <w:rFonts w:ascii="Arial" w:hAnsi="Arial" w:cs="Arial" w:eastAsia="Arial"/>
          <w:color w:val="252525"/>
          <w:sz w:val="72"/>
        </w:rPr>
        <w:t xml:space="preserve"> to </w:t>
      </w:r>
      <w:r>
        <w:rPr>
          <w:rFonts w:ascii="Arial" w:hAnsi="Arial" w:cs="Arial" w:eastAsia="Arial"/>
          <w:color w:val="252525"/>
          <w:sz w:val="72"/>
        </w:rPr>
        <w:t>0.20</w:t>
      </w:r>
      <w:r>
        <w:rPr>
          <w:rFonts w:ascii="Arial" w:hAnsi="Arial" w:cs="Arial" w:eastAsia="Arial"/>
          <w:color w:val="252525"/>
          <w:sz w:val="72"/>
        </w:rPr>
        <w:t xml:space="preserve"> to approximately </w:t>
      </w:r>
      <w:r>
        <w:rPr>
          <w:rFonts w:ascii="Arial" w:hAnsi="Arial" w:cs="Arial" w:eastAsia="Arial"/>
          <w:color w:val="252525"/>
          <w:sz w:val="72"/>
        </w:rPr>
        <w:t>0.02</w:t>
      </w:r>
      <w:r>
        <w:rPr>
          <w:rFonts w:ascii="Arial" w:hAnsi="Arial" w:cs="Arial" w:eastAsia="Arial"/>
          <w:color w:val="252525"/>
          <w:sz w:val="72"/>
        </w:rPr>
        <w:t xml:space="preserve"> to </w:t>
      </w:r>
      <w:r>
        <w:rPr>
          <w:rFonts w:ascii="Arial" w:hAnsi="Arial" w:cs="Arial" w:eastAsia="Arial"/>
          <w:color w:val="252525"/>
          <w:sz w:val="72"/>
        </w:rPr>
        <w:t>0.15</w:t>
      </w:r>
      <w:r>
        <w:rPr>
          <w:rFonts w:ascii="Arial" w:hAnsi="Arial" w:cs="Arial" w:eastAsia="Arial"/>
          <w:color w:val="252525"/>
          <w:sz w:val="72"/>
        </w:rPr>
        <w: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Projected data volume in 5 years: </w:t>
      </w:r>
      <w:r>
        <w:rPr>
          <w:rFonts w:ascii="Arial" w:hAnsi="Arial" w:cs="Arial" w:eastAsia="Arial"/>
          <w:color w:val="252525"/>
          <w:sz w:val="72"/>
        </w:rPr>
        <w:t>PLATO mission (launch 2026) and continued TESS plus JWST characterization projects approximately 1000 well-characterized rocky exoplanets by 2031 — projecting I ≈ 0.70 improvement on ξ.</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Data Stream 4 </w:t>
      </w:r>
      <w:r>
        <w:rPr>
          <w:rFonts w:ascii="Arial" w:hAnsi="Arial" w:cs="Arial" w:eastAsia="Arial"/>
          <w:color w:val="252525"/>
          <w:sz w:val="72"/>
        </w:rPr>
        <w:t>— Kilonova Observations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Primary calibration targets: </w:t>
      </w:r>
      <w:r>
        <w:rPr>
          <w:rFonts w:ascii="Arial" w:hAnsi="Arial" w:cs="Arial" w:eastAsia="Arial"/>
          <w:color w:val="252525"/>
          <w:sz w:val="72"/>
        </w:rPr>
        <w:t>Ω_merger, λ_TIFE_merger</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Current data volume:</w:t>
      </w:r>
      <w:r>
        <w:rPr>
          <w:rFonts w:ascii="Arial" w:hAnsi="Arial" w:cs="Arial" w:eastAsia="Arial"/>
          <w:color w:val="252525"/>
          <w:sz w:val="72"/>
        </w:rPr>
        <w:t xml:space="preserve"> One well-</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characterized kilonova — AT2017gfo from GW170817. Approximately 5 additional candidate kilonovae with less complete characterization from subsequent LIGO/Virgo observations.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Projected improvement from current data: </w:t>
      </w:r>
      <w:r>
        <w:rPr>
          <w:rFonts w:ascii="Arial" w:hAnsi="Arial" w:cs="Arial" w:eastAsia="Arial"/>
          <w:color w:val="252525"/>
          <w:sz w:val="72"/>
        </w:rPr>
        <w:t xml:space="preserve">The single GW170817 kilonova provides very limited constraint — approximately I = </w:t>
      </w:r>
      <w:r>
        <w:rPr>
          <w:rFonts w:ascii="Arial" w:hAnsi="Arial" w:cs="Arial" w:eastAsia="Arial"/>
          <w:color w:val="252525"/>
          <w:sz w:val="72"/>
        </w:rPr>
        <w:t>0.12</w:t>
      </w:r>
      <w:r>
        <w:rPr>
          <w:rFonts w:ascii="Arial" w:hAnsi="Arial" w:cs="Arial" w:eastAsia="Arial"/>
          <w:color w:val="252525"/>
          <w:sz w:val="72"/>
        </w:rPr>
        <w:t xml:space="preserve"> on Ω_merger. The posterior on Ω_merger narrows only marginally from the initial range 2π to 6π.</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Projected data volume in 5 years: </w:t>
      </w:r>
      <w:r>
        <w:rPr>
          <w:rFonts w:ascii="Arial" w:hAnsi="Arial" w:cs="Arial" w:eastAsia="Arial"/>
          <w:color w:val="252525"/>
          <w:sz w:val="72"/>
        </w:rPr>
        <w:t xml:space="preserve">LIGO O5 run (2025 to 2027) and continued O6 observations project approximately 10 to 30 binary neutron star merger detections with kilonova counterparts — projecting I ≈ </w:t>
      </w:r>
      <w:r>
        <w:rPr>
          <w:rFonts w:ascii="Arial" w:hAnsi="Arial" w:cs="Arial" w:eastAsia="Arial"/>
          <w:color w:val="252525"/>
          <w:sz w:val="72"/>
        </w:rPr>
        <w:t>0.45</w:t>
      </w:r>
      <w:r>
        <w:rPr>
          <w:rFonts w:ascii="Arial" w:hAnsi="Arial" w:cs="Arial" w:eastAsia="Arial"/>
          <w:color w:val="252525"/>
          <w:sz w:val="72"/>
        </w:rPr>
        <w:t xml:space="preserve"> improvement on Ω_merger with this sample.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Data Stream 5 </w:t>
      </w:r>
      <w:r>
        <w:rPr>
          <w:rFonts w:ascii="Arial" w:hAnsi="Arial" w:cs="Arial" w:eastAsia="Arial"/>
          <w:color w:val="252525"/>
          <w:sz w:val="72"/>
        </w:rPr>
        <w:t>— Gravitational Wave Merger Events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Primary calibration targets:</w:t>
      </w:r>
      <w:r>
        <w:rPr>
          <w:rFonts w:ascii="Arial" w:hAnsi="Arial" w:cs="Arial" w:eastAsia="Arial"/>
          <w:color w:val="252525"/>
          <w:sz w:val="72"/>
        </w:rPr>
        <w:t xml:space="preserve"> None directly — gravitational wave data primarily tests fixed parameters (η echo timing TOV limit) rather than calibration parameters. However gravitational wave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mass measurements provide independent progenitor mass estimates that cross-check the forensic inversion.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Improvement contribution:</w:t>
      </w:r>
      <w:r>
        <w:rPr>
          <w:rFonts w:ascii="Arial" w:hAnsi="Arial" w:cs="Arial" w:eastAsia="Arial"/>
          <w:color w:val="252525"/>
          <w:sz w:val="72"/>
        </w:rPr>
        <w:t xml:space="preserve"> Cross-validation — each LIGO/Virgo black hole mass measurement provides a prior-independent mass estimate for a black hole of known approximate progenitor type. Comparison with BSFM forensic inversion mass estimates for the same event (estimated from the galactic chemical environment) tests the forensic inversion calibration.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Current contribution: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Approximately 90 binary black hole merger events from LIGO O1 through O3. Limited forensic inversion cross-check because the progenitor environments are generally not well characterized.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26.5 — THE IMPROVEMENT ROADMAP</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recursive improvement framework defines a specific projected improvement trajectory over the next decade.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Current state (Version 1.0):</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λ</w:t>
      </w:r>
      <w:r>
        <w:rPr>
          <w:rFonts w:ascii="Arial" w:hAnsi="Arial" w:cs="Arial" w:eastAsia="Arial"/>
          <w:b w:val="true"/>
          <w:color w:val="252525"/>
          <w:sz w:val="72"/>
        </w:rPr>
        <w:t>₀</w:t>
      </w:r>
      <w:r>
        <w:rPr>
          <w:rFonts w:ascii="Arial" w:hAnsi="Arial" w:cs="Arial" w:eastAsia="Arial"/>
          <w:b w:val="true"/>
          <w:color w:val="252525"/>
          <w:sz w:val="72"/>
        </w:rPr>
        <w:t xml:space="preserve">: </w:t>
      </w:r>
      <w:r>
        <w:rPr>
          <w:rFonts w:ascii="Arial" w:hAnsi="Arial" w:cs="Arial" w:eastAsia="Arial"/>
          <w:color w:val="252525"/>
          <w:sz w:val="72"/>
        </w:rPr>
        <w:t>15</w:t>
      </w:r>
      <w:r>
        <w:rPr>
          <w:rFonts w:ascii="Arial" w:hAnsi="Arial" w:cs="Arial" w:eastAsia="Arial"/>
          <w:color w:val="252525"/>
          <w:sz w:val="72"/>
        </w:rPr>
        <w:t xml:space="preserve"> ± 5 atomic mass units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(prior dominated)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η_shock: </w:t>
      </w:r>
      <w:r>
        <w:rPr>
          <w:rFonts w:ascii="Arial" w:hAnsi="Arial" w:cs="Arial" w:eastAsia="Arial"/>
          <w:color w:val="252525"/>
          <w:sz w:val="72"/>
        </w:rPr>
        <w:t>0.85 ± 0.075 (prior dominated)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ξ: </w:t>
      </w:r>
      <w:r>
        <w:rPr>
          <w:rFonts w:ascii="Arial" w:hAnsi="Arial" w:cs="Arial" w:eastAsia="Arial"/>
          <w:color w:val="252525"/>
          <w:sz w:val="72"/>
        </w:rPr>
        <w:t>0.05</w:t>
      </w:r>
      <w:r>
        <w:rPr>
          <w:rFonts w:ascii="Arial" w:hAnsi="Arial" w:cs="Arial" w:eastAsia="Arial"/>
          <w:color w:val="252525"/>
          <w:sz w:val="72"/>
        </w:rPr>
        <w:t xml:space="preserve"> ± </w:t>
      </w:r>
      <w:r>
        <w:rPr>
          <w:rFonts w:ascii="Arial" w:hAnsi="Arial" w:cs="Arial" w:eastAsia="Arial"/>
          <w:color w:val="252525"/>
          <w:sz w:val="72"/>
        </w:rPr>
        <w:t>0.05</w:t>
      </w:r>
      <w:r>
        <w:rPr>
          <w:rFonts w:ascii="Arial" w:hAnsi="Arial" w:cs="Arial" w:eastAsia="Arial"/>
          <w:color w:val="252525"/>
          <w:sz w:val="72"/>
        </w:rPr>
        <w:t xml:space="preserve"> (prior dominated)</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f_cond:</w:t>
      </w:r>
      <w:r>
        <w:rPr>
          <w:rFonts w:ascii="Arial" w:hAnsi="Arial" w:cs="Arial" w:eastAsia="Arial"/>
          <w:color w:val="252525"/>
          <w:sz w:val="72"/>
        </w:rPr>
        <w:t xml:space="preserve"> element-specific with 10 to 30 percent uncertainties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Ω_merger:</w:t>
      </w:r>
      <w:r>
        <w:rPr>
          <w:rFonts w:ascii="Arial" w:hAnsi="Arial" w:cs="Arial" w:eastAsia="Arial"/>
          <w:color w:val="252525"/>
          <w:sz w:val="72"/>
        </w:rPr>
        <w:t xml:space="preserve"> 4π ± 2π (prior dominated)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Projected state after 2 years (Version 1.x — metal-poor star and remnant data):</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λ_</w:t>
      </w:r>
      <w:r>
        <w:rPr>
          <w:rFonts w:ascii="Arial" w:hAnsi="Arial" w:cs="Arial" w:eastAsia="Arial"/>
          <w:b w:val="true"/>
          <w:color w:val="252525"/>
          <w:sz w:val="72"/>
        </w:rPr>
        <w:t>0:</w:t>
      </w:r>
      <w:r>
        <w:rPr>
          <w:rFonts w:ascii="Arial" w:hAnsi="Arial" w:cs="Arial" w:eastAsia="Arial"/>
          <w:color w:val="252525"/>
          <w:sz w:val="72"/>
        </w:rPr>
        <w:t xml:space="preserve"> 15</w:t>
      </w:r>
      <w:r>
        <w:rPr>
          <w:rFonts w:ascii="Arial" w:hAnsi="Arial" w:cs="Arial" w:eastAsia="Arial"/>
          <w:color w:val="252525"/>
          <w:sz w:val="72"/>
        </w:rPr>
        <w:t xml:space="preserve"> ± 3 atomic mass units (approximately 40 percent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improvement)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η_shock: </w:t>
      </w:r>
      <w:r>
        <w:rPr>
          <w:rFonts w:ascii="Arial" w:hAnsi="Arial" w:cs="Arial" w:eastAsia="Arial"/>
          <w:color w:val="252525"/>
          <w:sz w:val="72"/>
        </w:rPr>
        <w:t xml:space="preserve">0.84 ± </w:t>
      </w:r>
      <w:r>
        <w:rPr>
          <w:rFonts w:ascii="Arial" w:hAnsi="Arial" w:cs="Arial" w:eastAsia="Arial"/>
          <w:color w:val="252525"/>
          <w:sz w:val="72"/>
        </w:rPr>
        <w:t>0.05</w:t>
      </w:r>
      <w:r>
        <w:rPr>
          <w:rFonts w:ascii="Arial" w:hAnsi="Arial" w:cs="Arial" w:eastAsia="Arial"/>
          <w:color w:val="252525"/>
          <w:sz w:val="72"/>
        </w:rPr>
        <w:t xml:space="preserve"> (approximately 33 percent improvement)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ξ:</w:t>
      </w:r>
      <w:r>
        <w:rPr>
          <w:rFonts w:ascii="Arial" w:hAnsi="Arial" w:cs="Arial" w:eastAsia="Arial"/>
          <w:color w:val="252525"/>
          <w:sz w:val="72"/>
        </w:rPr>
        <w:t xml:space="preserve"> </w:t>
      </w:r>
      <w:r>
        <w:rPr>
          <w:rFonts w:ascii="Arial" w:hAnsi="Arial" w:cs="Arial" w:eastAsia="Arial"/>
          <w:color w:val="252525"/>
          <w:sz w:val="72"/>
        </w:rPr>
        <w:t>0.05</w:t>
      </w:r>
      <w:r>
        <w:rPr>
          <w:rFonts w:ascii="Arial" w:hAnsi="Arial" w:cs="Arial" w:eastAsia="Arial"/>
          <w:color w:val="252525"/>
          <w:sz w:val="72"/>
        </w:rPr>
        <w:t xml:space="preserve"> ± </w:t>
      </w:r>
      <w:r>
        <w:rPr>
          <w:rFonts w:ascii="Arial" w:hAnsi="Arial" w:cs="Arial" w:eastAsia="Arial"/>
          <w:color w:val="252525"/>
          <w:sz w:val="72"/>
        </w:rPr>
        <w:t>0.04</w:t>
      </w:r>
      <w:r>
        <w:rPr>
          <w:rFonts w:ascii="Arial" w:hAnsi="Arial" w:cs="Arial" w:eastAsia="Arial"/>
          <w:color w:val="252525"/>
          <w:sz w:val="72"/>
        </w:rPr>
        <w:t xml:space="preserve"> (approximately 20 percent improvement)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f_cond:</w:t>
      </w:r>
      <w:r>
        <w:rPr>
          <w:rFonts w:ascii="Arial" w:hAnsi="Arial" w:cs="Arial" w:eastAsia="Arial"/>
          <w:color w:val="252525"/>
          <w:sz w:val="72"/>
        </w:rPr>
        <w:t xml:space="preserve"> 5 to 15 percent uncertainties for major elements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Ω_merger:</w:t>
      </w:r>
      <w:r>
        <w:rPr>
          <w:rFonts w:ascii="Arial" w:hAnsi="Arial" w:cs="Arial" w:eastAsia="Arial"/>
          <w:color w:val="252525"/>
          <w:sz w:val="72"/>
        </w:rPr>
        <w:t xml:space="preserve"> 4π ± 2π (essentially unchanged — insufficient kilonova sample)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Projected state after 5 years (Version 2.0 — PLATO WEAVE and O5 data):</w:t>
      </w:r>
    </w:p>
    <w:p>
      <w:pPr>
        <w:pageBreakBefore w:val="true"/>
        <w:spacing w:line="240" w:lineRule="auto" w:after="0" w:before="0"/>
        <w:ind w:right="0" w:left="0"/>
      </w:pP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λ</w:t>
      </w:r>
      <w:r>
        <w:rPr>
          <w:rFonts w:ascii="Arial" w:hAnsi="Arial" w:cs="Arial" w:eastAsia="Arial"/>
          <w:b w:val="true"/>
          <w:color w:val="252525"/>
          <w:sz w:val="72"/>
        </w:rPr>
        <w:t>₀</w:t>
      </w:r>
      <w:r>
        <w:rPr>
          <w:rFonts w:ascii="Arial" w:hAnsi="Arial" w:cs="Arial" w:eastAsia="Arial"/>
          <w:b w:val="true"/>
          <w:color w:val="252525"/>
          <w:sz w:val="72"/>
        </w:rPr>
        <w:t>:</w:t>
      </w:r>
      <w:r>
        <w:rPr>
          <w:rFonts w:ascii="Arial" w:hAnsi="Arial" w:cs="Arial" w:eastAsia="Arial"/>
          <w:color w:val="252525"/>
          <w:sz w:val="72"/>
        </w:rPr>
        <w:t xml:space="preserve"> 15</w:t>
      </w:r>
      <w:r>
        <w:rPr>
          <w:rFonts w:ascii="Arial" w:hAnsi="Arial" w:cs="Arial" w:eastAsia="Arial"/>
          <w:color w:val="252525"/>
          <w:sz w:val="72"/>
        </w:rPr>
        <w:t xml:space="preserve"> ± </w:t>
      </w:r>
      <w:r>
        <w:rPr>
          <w:rFonts w:ascii="Arial" w:hAnsi="Arial" w:cs="Arial" w:eastAsia="Arial"/>
          <w:color w:val="252525"/>
          <w:sz w:val="72"/>
        </w:rPr>
        <w:t>1.5</w:t>
      </w:r>
      <w:r>
        <w:rPr>
          <w:rFonts w:ascii="Arial" w:hAnsi="Arial" w:cs="Arial" w:eastAsia="Arial"/>
          <w:color w:val="252525"/>
          <w:sz w:val="72"/>
        </w:rPr>
        <w:t xml:space="preserve"> atomic mass units (approximately 70 percent improvement)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η_shock:</w:t>
      </w:r>
      <w:r>
        <w:rPr>
          <w:rFonts w:ascii="Arial" w:hAnsi="Arial" w:cs="Arial" w:eastAsia="Arial"/>
          <w:color w:val="252525"/>
          <w:sz w:val="72"/>
        </w:rPr>
        <w:t xml:space="preserve"> 0.83 ± </w:t>
      </w:r>
      <w:r>
        <w:rPr>
          <w:rFonts w:ascii="Arial" w:hAnsi="Arial" w:cs="Arial" w:eastAsia="Arial"/>
          <w:color w:val="252525"/>
          <w:sz w:val="72"/>
        </w:rPr>
        <w:t>0.03</w:t>
      </w:r>
      <w:r>
        <w:rPr>
          <w:rFonts w:ascii="Arial" w:hAnsi="Arial" w:cs="Arial" w:eastAsia="Arial"/>
          <w:color w:val="252525"/>
          <w:sz w:val="72"/>
        </w:rPr>
        <w:t xml:space="preserve"> (approximately 60 percent improvement)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ξ:</w:t>
      </w:r>
      <w:r>
        <w:rPr>
          <w:rFonts w:ascii="Arial" w:hAnsi="Arial" w:cs="Arial" w:eastAsia="Arial"/>
          <w:color w:val="252525"/>
          <w:sz w:val="72"/>
        </w:rPr>
        <w:t xml:space="preserve"> </w:t>
      </w:r>
      <w:r>
        <w:rPr>
          <w:rFonts w:ascii="Arial" w:hAnsi="Arial" w:cs="Arial" w:eastAsia="Arial"/>
          <w:color w:val="252525"/>
          <w:sz w:val="72"/>
        </w:rPr>
        <w:t>0.05</w:t>
      </w:r>
      <w:r>
        <w:rPr>
          <w:rFonts w:ascii="Arial" w:hAnsi="Arial" w:cs="Arial" w:eastAsia="Arial"/>
          <w:color w:val="252525"/>
          <w:sz w:val="72"/>
        </w:rPr>
        <w:t xml:space="preserve"> ± 0.015 (approximately 70 percent improvement)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f_cond: </w:t>
      </w:r>
      <w:r>
        <w:rPr>
          <w:rFonts w:ascii="Arial" w:hAnsi="Arial" w:cs="Arial" w:eastAsia="Arial"/>
          <w:color w:val="252525"/>
          <w:sz w:val="72"/>
        </w:rPr>
        <w:t>2 to 5 percent uncertainties for major elements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Ω_merger:</w:t>
      </w:r>
      <w:r>
        <w:rPr>
          <w:rFonts w:ascii="Arial" w:hAnsi="Arial" w:cs="Arial" w:eastAsia="Arial"/>
          <w:color w:val="252525"/>
          <w:sz w:val="72"/>
        </w:rPr>
        <w:t xml:space="preserve"> 4π ± π (approximately 50 percent improvement from O5 kilonovae)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Projected state after 10 years (Version 3.0 — full survey data):</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All calibration parameters constrained to 5 to 15 percent precision.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forensic inversion of rocky exoplanet compositions will return progenitor mass estimates with uncertainties of approximately ±2 solar masses and spin parameter estimates with uncertainties of ±0.1 in a_*.</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26.6</w:t>
      </w:r>
      <w:r>
        <w:rPr>
          <w:rFonts w:ascii="Arial" w:hAnsi="Arial" w:cs="Arial" w:eastAsia="Arial"/>
          <w:b w:val="true"/>
          <w:color w:val="252525"/>
          <w:sz w:val="72"/>
        </w:rPr>
        <w:t xml:space="preserve"> — THE FRAMEWORK REVIEW PROTOCOL</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recursive improvement mechanism includes a formal protocol for framework review — triggered when the drift detection criterion is satisfied repeatedly across independent data streams.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Level 1 Review </w:t>
      </w:r>
      <w:r>
        <w:rPr>
          <w:rFonts w:ascii="Arial" w:hAnsi="Arial" w:cs="Arial" w:eastAsia="Arial"/>
          <w:color w:val="252525"/>
          <w:sz w:val="72"/>
        </w:rPr>
        <w:t>— Single Parameter Drift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Triggered when: </w:t>
      </w:r>
      <w:r>
        <w:rPr>
          <w:rFonts w:ascii="Arial" w:hAnsi="Arial" w:cs="Arial" w:eastAsia="Arial"/>
          <w:color w:val="252525"/>
          <w:sz w:val="72"/>
        </w:rPr>
        <w:t>The posterior mean for a single calibration parameter shifts by more than 2 sigma in the same direction across three or more independent data points from the same data stream.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Action:</w:t>
      </w:r>
      <w:r>
        <w:rPr>
          <w:rFonts w:ascii="Arial" w:hAnsi="Arial" w:cs="Arial" w:eastAsia="Arial"/>
          <w:color w:val="252525"/>
          <w:sz w:val="72"/>
        </w:rPr>
        <w:t xml:space="preserve"> Detailed investigation of the affected calibration parameter. Review of the module that computes it. Comparison with independent estimates from other frameworks. No framework modification unless the investigation identifies a specific error.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Level 2 Review </w:t>
      </w:r>
      <w:r>
        <w:rPr>
          <w:rFonts w:ascii="Arial" w:hAnsi="Arial" w:cs="Arial" w:eastAsia="Arial"/>
          <w:color w:val="252525"/>
          <w:sz w:val="72"/>
        </w:rPr>
        <w:t>— Multi-Parameter Drift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Triggered when:</w:t>
      </w:r>
      <w:r>
        <w:rPr>
          <w:rFonts w:ascii="Arial" w:hAnsi="Arial" w:cs="Arial" w:eastAsia="Arial"/>
          <w:color w:val="252525"/>
          <w:sz w:val="72"/>
        </w:rPr>
        <w:t xml:space="preserve"> Two or more calibration parameters show simultaneous drift in the same data stream or correlated drift across different data streams.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72"/>
        </w:rPr>
        <w:t xml:space="preserve">Action: </w:t>
      </w:r>
      <w:r>
        <w:rPr>
          <w:rFonts w:ascii="Arial" w:hAnsi="Arial" w:cs="Arial" w:eastAsia="Arial"/>
          <w:color w:val="252525"/>
          <w:sz w:val="72"/>
        </w:rPr>
        <w:t>Full review of the interactions between the drifting parameters within the BSFM framework. Investigation of whether the drift pattern is consistent with a systematic error in a fixed parameter. If a fixed parameter error is identified a formal derivation review is initiated.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Level 3 Review</w:t>
      </w:r>
      <w:r>
        <w:rPr>
          <w:rFonts w:ascii="Arial" w:hAnsi="Arial" w:cs="Arial" w:eastAsia="Arial"/>
          <w:color w:val="252525"/>
          <w:sz w:val="72"/>
        </w:rPr>
        <w:t xml:space="preserve"> — Fixed Parameter Challenge</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Triggered when:</w:t>
      </w:r>
      <w:r>
        <w:rPr>
          <w:rFonts w:ascii="Arial" w:hAnsi="Arial" w:cs="Arial" w:eastAsia="Arial"/>
          <w:color w:val="252525"/>
          <w:sz w:val="72"/>
        </w:rPr>
        <w:t xml:space="preserve"> Observational data is inconsistent with a fixed parameter prediction at 3 sigma or greater across three or more independent data points from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different data streams.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 xml:space="preserve">Action: </w:t>
      </w:r>
      <w:r>
        <w:rPr>
          <w:rFonts w:ascii="Arial" w:hAnsi="Arial" w:cs="Arial" w:eastAsia="Arial"/>
          <w:color w:val="252525"/>
          <w:sz w:val="72"/>
        </w:rPr>
        <w:t xml:space="preserve">Full formal review of the derivation chain leading to the challenged fixed parameter. This is the most serious review level — it constitutes a potential refutation of a fundamental result. The review examines every assumption in the derivation and tests whether relaxing any assumption could resolve the inconsistency. The outcome is either a confirmed refutation (the framework is wrong at this point and must be revised) or a confirmed derivation error (a specific step in the derivation was incorrect and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must be corrected) or a measurement reconciliation (the data was incorrect or misinterpreted).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The refutation protocol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A confirmed refutation at Level 3 is not the end of the BSFM framework — it is the most valuable possible outcome. It identifies specifically where the framework fails. A precise failure is more scientifically valuable than a vague success because it points directly to where the deeper physics lies. Every Level 3 refutation generates a specific open question for subsequent theoretical development — and that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question is more precisely posed than it would have been without the framework to identify it.</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26.7</w:t>
      </w:r>
      <w:r>
        <w:rPr>
          <w:rFonts w:ascii="Arial" w:hAnsi="Arial" w:cs="Arial" w:eastAsia="Arial"/>
          <w:b w:val="true"/>
          <w:color w:val="252525"/>
          <w:sz w:val="72"/>
        </w:rPr>
        <w:t xml:space="preserve"> — THE RECURSIVE IMPROVEMENT FRAMEWORK AS A SCIENTIFIC STANDARD</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recursive improvement framework described in this chapter embodies a specific standard of scientific conduct:</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Transparency:</w:t>
      </w:r>
      <w:r>
        <w:rPr>
          <w:rFonts w:ascii="Arial" w:hAnsi="Arial" w:cs="Arial" w:eastAsia="Arial"/>
          <w:color w:val="252525"/>
          <w:sz w:val="72"/>
        </w:rPr>
        <w:t xml:space="preserve"> Every calibration parameter is listed explicitly with its initial estimate, allowed range, primary data stream, and update mechanism. No hidden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parameters. No post-hoc adjustments without explicit documentation.</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Reproducibility:</w:t>
      </w:r>
      <w:r>
        <w:rPr>
          <w:rFonts w:ascii="Arial" w:hAnsi="Arial" w:cs="Arial" w:eastAsia="Arial"/>
          <w:color w:val="252525"/>
          <w:sz w:val="72"/>
        </w:rPr>
        <w:t xml:space="preserve"> Every result is tied to a versioned calibration state. A scientist who obtains a different result from the same data using the same BSFM framework must be able to identify which version they used and whether their calibration parameters differ from the published values.</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Falsifiability:</w:t>
      </w:r>
      <w:r>
        <w:rPr>
          <w:rFonts w:ascii="Arial" w:hAnsi="Arial" w:cs="Arial" w:eastAsia="Arial"/>
          <w:color w:val="252525"/>
          <w:sz w:val="72"/>
        </w:rPr>
        <w:t xml:space="preserve"> The fixed parameters are committed predictions that cannot be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adjusted. The framework is falsifiable at the fixed parameter level regardless of how well the calibration parameters are tuned. A framework that can only be improved and never falsified is not a scientific framework.</w:t>
      </w:r>
    </w:p>
    <w:p>
      <w:pPr>
        <w:spacing w:line="270" w:lineRule="auto" w:after="0" w:before="0"/>
        <w:ind w:right="0" w:left="0"/>
        <w:rPr>
          <w:rFonts w:ascii="Arial" w:hAnsi="Arial" w:cs="Arial"/>
          <w:sz w:val="72"/>
        </w:rPr>
      </w:pPr>
      <w:r/>
    </w:p>
    <w:p>
      <w:pPr>
        <w:numPr>
          <w:numId w:val="1"/>
        </w:numPr>
        <w:spacing w:line="240" w:lineRule="auto" w:after="0" w:before="0"/>
        <w:ind w:right="0" w:left="0"/>
      </w:pPr>
      <w:r>
        <w:rPr>
          <w:rFonts w:ascii="Arial" w:hAnsi="Arial" w:cs="Arial" w:eastAsia="Arial"/>
          <w:b w:val="true"/>
          <w:color w:val="252525"/>
          <w:sz w:val="72"/>
        </w:rPr>
        <w:t>Honesty about uncertainty:</w:t>
      </w:r>
      <w:r>
        <w:rPr>
          <w:rFonts w:ascii="Arial" w:hAnsi="Arial" w:cs="Arial" w:eastAsia="Arial"/>
          <w:color w:val="252525"/>
          <w:sz w:val="72"/>
        </w:rPr>
        <w:t xml:space="preserve"> The uncertainty on every prediction is explicitly quantified through the posterior width on the relevant calibration parameters. A prediction that is prior-dominated — where the uncertainty is essentially the initial estimate rather than a data-constrained value — is labeled as such. It is not presented with false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72"/>
        </w:rPr>
        <w:t>precision.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This standard is not aspirational. It is operational — the framework either meets it or it does not. The recursive improvement specification in this chapter is written precisely enough that any independent group can implement it and verify that the BSFM framework behaves as described.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26.8</w:t>
      </w:r>
      <w:r>
        <w:rPr>
          <w:rFonts w:ascii="Arial" w:hAnsi="Arial" w:cs="Arial" w:eastAsia="Arial"/>
          <w:b w:val="true"/>
          <w:color w:val="252525"/>
          <w:sz w:val="72"/>
        </w:rPr>
        <w:t xml:space="preserve"> — SUMMARY</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Recursive Improvement Framework has been formally specified as a Bayesian update mechanism operating on five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calibration parameters across five data streams with a versioned release protocol and a three-level review protocol.</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fundamental architectural distinction between fixed parameters — immutable first-principles results — and calibration parameters — observationally conditioned quantities that improve in precision with data — is the formal guarantee that improvement is not retrofitting.</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Twelve fixed functional forms and four pure numerical constants constitute the immutable core of the BSFM framework. Five calibration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parameters are updated by observational data streams from metal-poor star spectroscopy, supernova remnant X-ray observations, rocky exoplanet characterization, kilonova observations, and gravitational wave merger events.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improvement roadmap projects achieving 5 to 15 % precision on all calibration parameters within 10 years using data from near-term surveys and observatories — PLATO WEAVE 4MOST JWST LIGO O5 and O6.</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The Level 3 review and refutation protocol — which treats confirmed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framework falsification as the most valuable possible outcome rather than as a failure — is the most important component of the entire chapter. A framework that protects its predictions from falsification is not science. A framework that commits to specific outcomes and provides a formal mechanism for identifying when those outcomes are wrong 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The BSFM Recursive Improvement Framework commits to that standard.</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IV IS NOW COMPLETE.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Parts I through IV of The Architecture of Physics are complete: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Part I — First Principles Foundations:</w:t>
      </w:r>
      <w:r>
        <w:rPr>
          <w:rFonts w:ascii="Arial" w:hAnsi="Arial" w:cs="Arial" w:eastAsia="Arial"/>
          <w:color w:val="252525"/>
          <w:sz w:val="72"/>
        </w:rPr>
        <w:t xml:space="preserve"> Chapters 1 through 4 — the Gradient Steepening Function, the Unified Degeneracy Cascade, the geometric derivation of η = </w:t>
      </w:r>
      <w:r>
        <w:rPr>
          <w:rFonts w:ascii="Arial" w:hAnsi="Arial" w:cs="Arial" w:eastAsia="Arial"/>
          <w:color w:val="252525"/>
          <w:sz w:val="72"/>
        </w:rPr>
        <w:t>1/20</w:t>
      </w:r>
      <w:r>
        <w:rPr>
          <w:rFonts w:ascii="Arial" w:hAnsi="Arial" w:cs="Arial" w:eastAsia="Arial"/>
          <w:color w:val="252525"/>
          <w:sz w:val="72"/>
        </w:rPr>
        <w:t>π, and the spin correction factor.</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Part II — The Unification Result: </w:t>
      </w:r>
      <w:r>
        <w:rPr>
          <w:rFonts w:ascii="Arial" w:hAnsi="Arial" w:cs="Arial" w:eastAsia="Arial"/>
          <w:color w:val="252525"/>
          <w:sz w:val="72"/>
        </w:rPr>
        <w:t>Chapters 5 through 8 — the Boundary Impedance Hypothesis, the event horizon verification, the TIFE neutrino emission test, and the Universal Boundary Impedance Theorem.</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Part III — Predictions and Testability: </w:t>
      </w:r>
      <w:r>
        <w:rPr>
          <w:rFonts w:ascii="Arial" w:hAnsi="Arial" w:cs="Arial" w:eastAsia="Arial"/>
          <w:color w:val="252525"/>
          <w:sz w:val="72"/>
        </w:rPr>
        <w:t>Chapters 9 through 13 — gravitational waves, neutrino bursts, supernova remnants, forensic inversion, and black hole structure.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b w:val="true"/>
          <w:color w:val="252525"/>
          <w:sz w:val="72"/>
        </w:rPr>
        <w:t xml:space="preserve">Part IV — The Research Agenda: </w:t>
      </w:r>
      <w:r>
        <w:rPr>
          <w:rFonts w:ascii="Arial" w:hAnsi="Arial" w:cs="Arial" w:eastAsia="Arial"/>
          <w:color w:val="252525"/>
          <w:sz w:val="72"/>
        </w:rPr>
        <w:t>Chapters 14 through 17 — the abundance curve library, missing baryonic mass accounting, the unified r-process engine, and the recursive improvement framework.</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72"/>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2026-06-22T12:17:10Z</dcterms:created>
  <dc:creator>Apache POI</dc:creator>
</cp:coreProperties>
</file>