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39A35" w14:textId="77777777" w:rsidR="007567FE" w:rsidRPr="007567FE" w:rsidRDefault="007567FE" w:rsidP="007567FE">
      <w:pPr>
        <w:rPr>
          <w:b/>
          <w:bCs/>
          <w:lang w:val="en-US"/>
        </w:rPr>
      </w:pPr>
      <w:proofErr w:type="spellStart"/>
      <w:r w:rsidRPr="007567FE">
        <w:rPr>
          <w:b/>
          <w:bCs/>
          <w:lang w:val="en-US"/>
        </w:rPr>
        <w:t>neomom</w:t>
      </w:r>
      <w:proofErr w:type="spellEnd"/>
      <w:r w:rsidRPr="007567FE">
        <w:rPr>
          <w:b/>
          <w:bCs/>
          <w:lang w:val="en-US"/>
        </w:rPr>
        <w:t xml:space="preserve"> will be judged by ham's who compare results with </w:t>
      </w:r>
      <w:proofErr w:type="spellStart"/>
      <w:r w:rsidRPr="007567FE">
        <w:rPr>
          <w:b/>
          <w:bCs/>
          <w:lang w:val="en-US"/>
        </w:rPr>
        <w:t>mmana</w:t>
      </w:r>
      <w:proofErr w:type="spellEnd"/>
      <w:r w:rsidRPr="007567FE">
        <w:rPr>
          <w:b/>
          <w:bCs/>
          <w:lang w:val="en-US"/>
        </w:rPr>
        <w:t xml:space="preserve">-gal and </w:t>
      </w:r>
      <w:proofErr w:type="spellStart"/>
      <w:r w:rsidRPr="007567FE">
        <w:rPr>
          <w:b/>
          <w:bCs/>
          <w:lang w:val="en-US"/>
        </w:rPr>
        <w:t>eznec</w:t>
      </w:r>
      <w:proofErr w:type="spellEnd"/>
      <w:r w:rsidRPr="007567FE">
        <w:rPr>
          <w:b/>
          <w:bCs/>
          <w:lang w:val="en-US"/>
        </w:rPr>
        <w:t>. Input impedance will be one of the main comparison items.</w:t>
      </w:r>
    </w:p>
    <w:p w14:paraId="3F7274C9" w14:textId="77777777" w:rsidR="007567FE" w:rsidRPr="007567FE" w:rsidRDefault="007567FE" w:rsidP="007567FE">
      <w:pPr>
        <w:rPr>
          <w:lang w:val="en-US"/>
        </w:rPr>
      </w:pPr>
    </w:p>
    <w:p w14:paraId="073FCD0E" w14:textId="77777777" w:rsidR="007567FE" w:rsidRPr="007567FE" w:rsidRDefault="007567FE" w:rsidP="007567FE">
      <w:pPr>
        <w:rPr>
          <w:lang w:val="en-US"/>
        </w:rPr>
      </w:pPr>
      <w:r w:rsidRPr="007567FE">
        <w:rPr>
          <w:lang w:val="en-US"/>
        </w:rPr>
        <w:t>Thought process</w:t>
      </w:r>
    </w:p>
    <w:p w14:paraId="35AA57D8" w14:textId="77777777" w:rsidR="007567FE" w:rsidRPr="007567FE" w:rsidRDefault="007567FE" w:rsidP="007567FE">
      <w:pPr>
        <w:rPr>
          <w:lang w:val="en-US"/>
        </w:rPr>
      </w:pPr>
      <w:r w:rsidRPr="007567FE">
        <w:rPr>
          <w:lang w:val="en-US"/>
        </w:rPr>
        <w:t>Thought process</w:t>
      </w:r>
    </w:p>
    <w:p w14:paraId="62F8D76D" w14:textId="77777777" w:rsidR="007567FE" w:rsidRPr="007567FE" w:rsidRDefault="007567FE" w:rsidP="007567FE">
      <w:pPr>
        <w:rPr>
          <w:lang w:val="en-US"/>
        </w:rPr>
      </w:pPr>
      <w:r w:rsidRPr="007567FE">
        <w:rPr>
          <w:lang w:val="en-US"/>
        </w:rPr>
        <w:t xml:space="preserve">This is the right lens to design around. Ham operators are pragmatic — they'll open all three codes on the same antenna and compare numbers. Understanding where agreement is tight versus where it diverges systematically will let you set honest expectations and, where possible, tune </w:t>
      </w:r>
      <w:proofErr w:type="spellStart"/>
      <w:r w:rsidRPr="007567FE">
        <w:rPr>
          <w:lang w:val="en-US"/>
        </w:rPr>
        <w:t>NeoMoM</w:t>
      </w:r>
      <w:proofErr w:type="spellEnd"/>
      <w:r w:rsidRPr="007567FE">
        <w:rPr>
          <w:lang w:val="en-US"/>
        </w:rPr>
        <w:t xml:space="preserve"> toward the NEC reference.</w:t>
      </w:r>
    </w:p>
    <w:p w14:paraId="7F6D6841" w14:textId="77777777" w:rsidR="007567FE" w:rsidRPr="007567FE" w:rsidRDefault="007567FE" w:rsidP="007567FE">
      <w:pPr>
        <w:rPr>
          <w:lang w:val="en-US"/>
        </w:rPr>
      </w:pPr>
      <w:r w:rsidRPr="007567FE">
        <w:rPr>
          <w:b/>
          <w:bCs/>
          <w:lang w:val="en-US"/>
        </w:rPr>
        <w:t>The three formulations side by side</w:t>
      </w:r>
    </w:p>
    <w:tbl>
      <w:tblPr>
        <w:tblW w:w="0" w:type="auto"/>
        <w:tblCellMar>
          <w:left w:w="0" w:type="dxa"/>
          <w:right w:w="0" w:type="dxa"/>
        </w:tblCellMar>
        <w:tblLook w:val="04A0" w:firstRow="1" w:lastRow="0" w:firstColumn="1" w:lastColumn="0" w:noHBand="0" w:noVBand="1"/>
      </w:tblPr>
      <w:tblGrid>
        <w:gridCol w:w="1812"/>
        <w:gridCol w:w="2568"/>
        <w:gridCol w:w="2439"/>
        <w:gridCol w:w="2439"/>
      </w:tblGrid>
      <w:tr w:rsidR="007567FE" w:rsidRPr="007567FE" w14:paraId="2F502388"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4588E4" w14:textId="77777777" w:rsidR="007567FE" w:rsidRPr="007567FE" w:rsidRDefault="007567FE" w:rsidP="007567FE">
            <w:pPr>
              <w:rPr>
                <w:lang w:val="en-US"/>
              </w:rPr>
            </w:pP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A14F4C" w14:textId="77777777" w:rsidR="007567FE" w:rsidRPr="007567FE" w:rsidRDefault="007567FE" w:rsidP="007567FE">
            <w:pPr>
              <w:rPr>
                <w:b/>
                <w:bCs/>
                <w:lang w:val="en-US"/>
              </w:rPr>
            </w:pPr>
            <w:r w:rsidRPr="007567FE">
              <w:rPr>
                <w:b/>
                <w:bCs/>
                <w:lang w:val="en-US"/>
              </w:rPr>
              <w:t>MMANA-GAL (MMINEC)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6BE07C" w14:textId="77777777" w:rsidR="007567FE" w:rsidRPr="007567FE" w:rsidRDefault="007567FE" w:rsidP="007567FE">
            <w:pPr>
              <w:rPr>
                <w:b/>
                <w:bCs/>
                <w:lang w:val="en-US"/>
              </w:rPr>
            </w:pPr>
            <w:r w:rsidRPr="007567FE">
              <w:rPr>
                <w:b/>
                <w:bCs/>
                <w:lang w:val="en-US"/>
              </w:rPr>
              <w:t>EZNEC / NEC-5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8FF8FE" w14:textId="77777777" w:rsidR="007567FE" w:rsidRPr="007567FE" w:rsidRDefault="007567FE" w:rsidP="007567FE">
            <w:pPr>
              <w:rPr>
                <w:b/>
                <w:bCs/>
                <w:lang w:val="en-US"/>
              </w:rPr>
            </w:pPr>
            <w:proofErr w:type="spellStart"/>
            <w:r w:rsidRPr="007567FE">
              <w:rPr>
                <w:b/>
                <w:bCs/>
                <w:lang w:val="en-US"/>
              </w:rPr>
              <w:t>NeoMoM</w:t>
            </w:r>
            <w:proofErr w:type="spellEnd"/>
          </w:p>
        </w:tc>
      </w:tr>
      <w:tr w:rsidR="007567FE" w:rsidRPr="007567FE" w14:paraId="617A9D7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6FEA9B" w14:textId="77777777" w:rsidR="007567FE" w:rsidRPr="007567FE" w:rsidRDefault="007567FE" w:rsidP="007567FE">
            <w:pPr>
              <w:rPr>
                <w:lang w:val="en-US"/>
              </w:rPr>
            </w:pPr>
            <w:r w:rsidRPr="007567FE">
              <w:rPr>
                <w:lang w:val="en-US"/>
              </w:rPr>
              <w:t>Basis functions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87F9C0" w14:textId="77777777" w:rsidR="007567FE" w:rsidRPr="007567FE" w:rsidRDefault="007567FE" w:rsidP="007567FE">
            <w:pPr>
              <w:rPr>
                <w:lang w:val="en-US"/>
              </w:rPr>
            </w:pPr>
            <w:r w:rsidRPr="007567FE">
              <w:rPr>
                <w:lang w:val="en-US"/>
              </w:rPr>
              <w:t>Pulse (constant per seg)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85127F" w14:textId="77777777" w:rsidR="007567FE" w:rsidRPr="007567FE" w:rsidRDefault="007567FE" w:rsidP="007567FE">
            <w:pPr>
              <w:rPr>
                <w:lang w:val="en-US"/>
              </w:rPr>
            </w:pPr>
            <w:r w:rsidRPr="007567FE">
              <w:rPr>
                <w:lang w:val="en-US"/>
              </w:rPr>
              <w:t>3-term sinusoidal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233A27" w14:textId="77777777" w:rsidR="007567FE" w:rsidRPr="007567FE" w:rsidRDefault="007567FE" w:rsidP="007567FE">
            <w:pPr>
              <w:rPr>
                <w:lang w:val="en-US"/>
              </w:rPr>
            </w:pPr>
            <w:r w:rsidRPr="007567FE">
              <w:rPr>
                <w:lang w:val="en-US"/>
              </w:rPr>
              <w:t>Rooftop (triangular)</w:t>
            </w:r>
          </w:p>
        </w:tc>
      </w:tr>
      <w:tr w:rsidR="007567FE" w:rsidRPr="007567FE" w14:paraId="21FE8CF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F8D4DF" w14:textId="77777777" w:rsidR="007567FE" w:rsidRPr="007567FE" w:rsidRDefault="007567FE" w:rsidP="007567FE">
            <w:pPr>
              <w:rPr>
                <w:lang w:val="en-US"/>
              </w:rPr>
            </w:pPr>
            <w:r w:rsidRPr="007567FE">
              <w:rPr>
                <w:lang w:val="en-US"/>
              </w:rPr>
              <w:t>Testing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0B50A4" w14:textId="77777777" w:rsidR="007567FE" w:rsidRPr="007567FE" w:rsidRDefault="007567FE" w:rsidP="007567FE">
            <w:pPr>
              <w:rPr>
                <w:lang w:val="en-US"/>
              </w:rPr>
            </w:pPr>
            <w:r w:rsidRPr="007567FE">
              <w:rPr>
                <w:lang w:val="en-US"/>
              </w:rPr>
              <w:t>Point-matching at nodes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21976B" w14:textId="77777777" w:rsidR="007567FE" w:rsidRPr="007567FE" w:rsidRDefault="007567FE" w:rsidP="007567FE">
            <w:pPr>
              <w:rPr>
                <w:lang w:val="en-US"/>
              </w:rPr>
            </w:pPr>
            <w:r w:rsidRPr="007567FE">
              <w:rPr>
                <w:lang w:val="en-US"/>
              </w:rPr>
              <w:t>Galerkin (sinusoidal)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CBAB6AA" w14:textId="77777777" w:rsidR="007567FE" w:rsidRPr="007567FE" w:rsidRDefault="007567FE" w:rsidP="007567FE">
            <w:pPr>
              <w:rPr>
                <w:lang w:val="en-US"/>
              </w:rPr>
            </w:pPr>
            <w:r w:rsidRPr="007567FE">
              <w:rPr>
                <w:lang w:val="en-US"/>
              </w:rPr>
              <w:t>Galerkin (rooftop)</w:t>
            </w:r>
          </w:p>
        </w:tc>
      </w:tr>
      <w:tr w:rsidR="007567FE" w:rsidRPr="007567FE" w14:paraId="7A22E07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71FD0D" w14:textId="77777777" w:rsidR="007567FE" w:rsidRPr="007567FE" w:rsidRDefault="007567FE" w:rsidP="007567FE">
            <w:pPr>
              <w:rPr>
                <w:lang w:val="en-US"/>
              </w:rPr>
            </w:pPr>
            <w:r w:rsidRPr="007567FE">
              <w:rPr>
                <w:lang w:val="en-US"/>
              </w:rPr>
              <w:t>Source model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05AD18" w14:textId="77777777" w:rsidR="007567FE" w:rsidRPr="007567FE" w:rsidRDefault="007567FE" w:rsidP="007567FE">
            <w:pPr>
              <w:rPr>
                <w:lang w:val="en-US"/>
              </w:rPr>
            </w:pPr>
            <w:r w:rsidRPr="007567FE">
              <w:rPr>
                <w:lang w:val="en-US"/>
              </w:rPr>
              <w:t>At node junction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CE5599" w14:textId="77777777" w:rsidR="007567FE" w:rsidRPr="007567FE" w:rsidRDefault="007567FE" w:rsidP="007567FE">
            <w:pPr>
              <w:rPr>
                <w:lang w:val="en-US"/>
              </w:rPr>
            </w:pPr>
            <w:r w:rsidRPr="007567FE">
              <w:rPr>
                <w:lang w:val="en-US"/>
              </w:rPr>
              <w:t xml:space="preserve">Delta-gap at seg </w:t>
            </w:r>
            <w:proofErr w:type="spellStart"/>
            <w:r w:rsidRPr="007567FE">
              <w:rPr>
                <w:lang w:val="en-US"/>
              </w:rPr>
              <w:t>centre</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B6AD4B" w14:textId="77777777" w:rsidR="007567FE" w:rsidRPr="007567FE" w:rsidRDefault="007567FE" w:rsidP="007567FE">
            <w:pPr>
              <w:rPr>
                <w:lang w:val="en-US"/>
              </w:rPr>
            </w:pPr>
            <w:r w:rsidRPr="007567FE">
              <w:rPr>
                <w:lang w:val="en-US"/>
              </w:rPr>
              <w:t xml:space="preserve">Delta-gap at seg </w:t>
            </w:r>
            <w:proofErr w:type="spellStart"/>
            <w:r w:rsidRPr="007567FE">
              <w:rPr>
                <w:lang w:val="en-US"/>
              </w:rPr>
              <w:t>centre</w:t>
            </w:r>
            <w:proofErr w:type="spellEnd"/>
          </w:p>
        </w:tc>
      </w:tr>
      <w:tr w:rsidR="007567FE" w:rsidRPr="007567FE" w14:paraId="108064F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70B6891" w14:textId="77777777" w:rsidR="007567FE" w:rsidRPr="007567FE" w:rsidRDefault="007567FE" w:rsidP="007567FE">
            <w:pPr>
              <w:rPr>
                <w:lang w:val="en-US"/>
              </w:rPr>
            </w:pPr>
            <w:r w:rsidRPr="007567FE">
              <w:rPr>
                <w:lang w:val="en-US"/>
              </w:rPr>
              <w:t>Self-term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B74309" w14:textId="77777777" w:rsidR="007567FE" w:rsidRPr="007567FE" w:rsidRDefault="007567FE" w:rsidP="007567FE">
            <w:pPr>
              <w:rPr>
                <w:lang w:val="en-US"/>
              </w:rPr>
            </w:pPr>
            <w:r w:rsidRPr="007567FE">
              <w:rPr>
                <w:lang w:val="en-US"/>
              </w:rPr>
              <w:t>MMINEC near-field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93B199" w14:textId="77777777" w:rsidR="007567FE" w:rsidRPr="007567FE" w:rsidRDefault="007567FE" w:rsidP="007567FE">
            <w:pPr>
              <w:rPr>
                <w:lang w:val="en-US"/>
              </w:rPr>
            </w:pPr>
            <w:r w:rsidRPr="007567FE">
              <w:rPr>
                <w:lang w:val="en-US"/>
              </w:rPr>
              <w:t>Exact sinusoidal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D1101D6" w14:textId="77777777" w:rsidR="007567FE" w:rsidRPr="007567FE" w:rsidRDefault="007567FE" w:rsidP="007567FE">
            <w:pPr>
              <w:rPr>
                <w:lang w:val="en-US"/>
              </w:rPr>
            </w:pPr>
            <w:r w:rsidRPr="007567FE">
              <w:rPr>
                <w:lang w:val="en-US"/>
              </w:rPr>
              <w:t>Gibson analytical</w:t>
            </w:r>
          </w:p>
        </w:tc>
      </w:tr>
      <w:tr w:rsidR="007567FE" w:rsidRPr="007567FE" w14:paraId="40594F3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AEBCF0" w14:textId="77777777" w:rsidR="007567FE" w:rsidRPr="007567FE" w:rsidRDefault="007567FE" w:rsidP="007567FE">
            <w:pPr>
              <w:rPr>
                <w:lang w:val="en-US"/>
              </w:rPr>
            </w:pPr>
            <w:r w:rsidRPr="007567FE">
              <w:rPr>
                <w:lang w:val="en-US"/>
              </w:rPr>
              <w:t>Matrix symmetry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2930F2A" w14:textId="77777777" w:rsidR="007567FE" w:rsidRPr="007567FE" w:rsidRDefault="007567FE" w:rsidP="007567FE">
            <w:pPr>
              <w:rPr>
                <w:lang w:val="en-US"/>
              </w:rPr>
            </w:pPr>
            <w:r w:rsidRPr="007567FE">
              <w:rPr>
                <w:lang w:val="en-US"/>
              </w:rPr>
              <w:t>Non-symmetric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B99F23" w14:textId="77777777" w:rsidR="007567FE" w:rsidRPr="007567FE" w:rsidRDefault="007567FE" w:rsidP="007567FE">
            <w:pPr>
              <w:rPr>
                <w:lang w:val="en-US"/>
              </w:rPr>
            </w:pPr>
            <w:r w:rsidRPr="007567FE">
              <w:rPr>
                <w:lang w:val="en-US"/>
              </w:rPr>
              <w:t>Symmetric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21AFC98" w14:textId="77777777" w:rsidR="007567FE" w:rsidRPr="007567FE" w:rsidRDefault="007567FE" w:rsidP="007567FE">
            <w:pPr>
              <w:rPr>
                <w:lang w:val="en-US"/>
              </w:rPr>
            </w:pPr>
            <w:r w:rsidRPr="007567FE">
              <w:rPr>
                <w:lang w:val="en-US"/>
              </w:rPr>
              <w:t>Symmetric</w:t>
            </w:r>
          </w:p>
        </w:tc>
      </w:tr>
    </w:tbl>
    <w:p w14:paraId="3D412F26" w14:textId="77777777" w:rsidR="007567FE" w:rsidRPr="007567FE" w:rsidRDefault="007567FE" w:rsidP="007567FE">
      <w:pPr>
        <w:rPr>
          <w:lang w:val="en-US"/>
        </w:rPr>
      </w:pPr>
      <w:r w:rsidRPr="007567FE">
        <w:rPr>
          <w:lang w:val="en-US"/>
        </w:rPr>
        <w:t xml:space="preserve">NEC and </w:t>
      </w:r>
      <w:proofErr w:type="spellStart"/>
      <w:r w:rsidRPr="007567FE">
        <w:rPr>
          <w:lang w:val="en-US"/>
        </w:rPr>
        <w:t>NeoMoM</w:t>
      </w:r>
      <w:proofErr w:type="spellEnd"/>
      <w:r w:rsidRPr="007567FE">
        <w:rPr>
          <w:lang w:val="en-US"/>
        </w:rPr>
        <w:t xml:space="preserve"> are the closer pair — both Galerkin with delta-gap at segment </w:t>
      </w:r>
      <w:proofErr w:type="spellStart"/>
      <w:r w:rsidRPr="007567FE">
        <w:rPr>
          <w:lang w:val="en-US"/>
        </w:rPr>
        <w:t>centre</w:t>
      </w:r>
      <w:proofErr w:type="spellEnd"/>
      <w:r w:rsidRPr="007567FE">
        <w:rPr>
          <w:lang w:val="en-US"/>
        </w:rPr>
        <w:t xml:space="preserve">. MMANA-GAL differs more fundamentally because the source sits at a node (current peak) rather than at a segment </w:t>
      </w:r>
      <w:proofErr w:type="spellStart"/>
      <w:r w:rsidRPr="007567FE">
        <w:rPr>
          <w:lang w:val="en-US"/>
        </w:rPr>
        <w:t>centre</w:t>
      </w:r>
      <w:proofErr w:type="spellEnd"/>
      <w:r w:rsidRPr="007567FE">
        <w:rPr>
          <w:lang w:val="en-US"/>
        </w:rPr>
        <w:t>.</w:t>
      </w:r>
    </w:p>
    <w:p w14:paraId="08BA9ECC" w14:textId="77777777" w:rsidR="007567FE" w:rsidRPr="007567FE" w:rsidRDefault="007567FE" w:rsidP="007567FE">
      <w:pPr>
        <w:rPr>
          <w:lang w:val="en-US"/>
        </w:rPr>
      </w:pPr>
      <w:r w:rsidRPr="007567FE">
        <w:rPr>
          <w:b/>
          <w:bCs/>
          <w:lang w:val="en-US"/>
        </w:rPr>
        <w:t>Where all three agree tightly</w:t>
      </w:r>
    </w:p>
    <w:p w14:paraId="7A6AB15A" w14:textId="77777777" w:rsidR="007567FE" w:rsidRPr="007567FE" w:rsidRDefault="007567FE" w:rsidP="007567FE">
      <w:pPr>
        <w:rPr>
          <w:lang w:val="en-US"/>
        </w:rPr>
      </w:pPr>
      <w:r w:rsidRPr="007567FE">
        <w:rPr>
          <w:lang w:val="en-US"/>
        </w:rPr>
        <w:t xml:space="preserve">For resonant, well-meshed, </w:t>
      </w:r>
      <w:proofErr w:type="spellStart"/>
      <w:r w:rsidRPr="007567FE">
        <w:rPr>
          <w:lang w:val="en-US"/>
        </w:rPr>
        <w:t>centre</w:t>
      </w:r>
      <w:proofErr w:type="spellEnd"/>
      <w:r w:rsidRPr="007567FE">
        <w:rPr>
          <w:lang w:val="en-US"/>
        </w:rPr>
        <w:t xml:space="preserve">-fed antennas the three formulations </w:t>
      </w:r>
      <w:proofErr w:type="gramStart"/>
      <w:r w:rsidRPr="007567FE">
        <w:rPr>
          <w:lang w:val="en-US"/>
        </w:rPr>
        <w:t>converge</w:t>
      </w:r>
      <w:proofErr w:type="gramEnd"/>
      <w:r w:rsidRPr="007567FE">
        <w:rPr>
          <w:lang w:val="en-US"/>
        </w:rPr>
        <w:t xml:space="preserve"> and hams will see agreement within a few ohms:</w:t>
      </w:r>
    </w:p>
    <w:p w14:paraId="6A22C134" w14:textId="77777777" w:rsidR="007567FE" w:rsidRPr="007567FE" w:rsidRDefault="007567FE" w:rsidP="007567FE">
      <w:pPr>
        <w:numPr>
          <w:ilvl w:val="0"/>
          <w:numId w:val="1"/>
        </w:numPr>
        <w:rPr>
          <w:lang w:val="en-US"/>
        </w:rPr>
      </w:pPr>
      <w:r w:rsidRPr="007567FE">
        <w:rPr>
          <w:lang w:val="en-US"/>
        </w:rPr>
        <w:t>Half-wave dipole in free space: NEC gives R≈73, X≈+42 Ω. All three should be within 2–3 Ω of each other at 20+ segments/λ.</w:t>
      </w:r>
    </w:p>
    <w:p w14:paraId="525ADD4D" w14:textId="77777777" w:rsidR="007567FE" w:rsidRPr="007567FE" w:rsidRDefault="007567FE" w:rsidP="007567FE">
      <w:pPr>
        <w:numPr>
          <w:ilvl w:val="0"/>
          <w:numId w:val="1"/>
        </w:numPr>
        <w:rPr>
          <w:lang w:val="en-US"/>
        </w:rPr>
      </w:pPr>
      <w:r w:rsidRPr="007567FE">
        <w:rPr>
          <w:lang w:val="en-US"/>
        </w:rPr>
        <w:t xml:space="preserve">Quarter-wave </w:t>
      </w:r>
      <w:proofErr w:type="gramStart"/>
      <w:r w:rsidRPr="007567FE">
        <w:rPr>
          <w:lang w:val="en-US"/>
        </w:rPr>
        <w:t>monopole</w:t>
      </w:r>
      <w:proofErr w:type="gramEnd"/>
      <w:r w:rsidRPr="007567FE">
        <w:rPr>
          <w:lang w:val="en-US"/>
        </w:rPr>
        <w:t xml:space="preserve"> over a ground plane</w:t>
      </w:r>
    </w:p>
    <w:p w14:paraId="02E8C504" w14:textId="77777777" w:rsidR="007567FE" w:rsidRPr="007567FE" w:rsidRDefault="007567FE" w:rsidP="007567FE">
      <w:pPr>
        <w:numPr>
          <w:ilvl w:val="0"/>
          <w:numId w:val="1"/>
        </w:numPr>
        <w:rPr>
          <w:lang w:val="en-US"/>
        </w:rPr>
      </w:pPr>
      <w:r w:rsidRPr="007567FE">
        <w:rPr>
          <w:lang w:val="en-US"/>
        </w:rPr>
        <w:t xml:space="preserve">Yagi with </w:t>
      </w:r>
      <w:proofErr w:type="spellStart"/>
      <w:r w:rsidRPr="007567FE">
        <w:rPr>
          <w:lang w:val="en-US"/>
        </w:rPr>
        <w:t>centre</w:t>
      </w:r>
      <w:proofErr w:type="spellEnd"/>
      <w:r w:rsidRPr="007567FE">
        <w:rPr>
          <w:lang w:val="en-US"/>
        </w:rPr>
        <w:t>-fed driven element</w:t>
      </w:r>
    </w:p>
    <w:p w14:paraId="36DAEF77" w14:textId="77777777" w:rsidR="007567FE" w:rsidRPr="007567FE" w:rsidRDefault="007567FE" w:rsidP="007567FE">
      <w:pPr>
        <w:rPr>
          <w:lang w:val="en-US"/>
        </w:rPr>
      </w:pPr>
      <w:r w:rsidRPr="007567FE">
        <w:rPr>
          <w:lang w:val="en-US"/>
        </w:rPr>
        <w:t>This is the "it just works" zone that builds trust.</w:t>
      </w:r>
    </w:p>
    <w:p w14:paraId="082166E0" w14:textId="77777777" w:rsidR="007567FE" w:rsidRPr="007567FE" w:rsidRDefault="007567FE" w:rsidP="007567FE">
      <w:pPr>
        <w:rPr>
          <w:lang w:val="en-US"/>
        </w:rPr>
      </w:pPr>
      <w:r w:rsidRPr="007567FE">
        <w:rPr>
          <w:b/>
          <w:bCs/>
          <w:lang w:val="en-US"/>
        </w:rPr>
        <w:t xml:space="preserve">Where </w:t>
      </w:r>
      <w:proofErr w:type="gramStart"/>
      <w:r w:rsidRPr="007567FE">
        <w:rPr>
          <w:b/>
          <w:bCs/>
          <w:lang w:val="en-US"/>
        </w:rPr>
        <w:t>they</w:t>
      </w:r>
      <w:proofErr w:type="gramEnd"/>
      <w:r w:rsidRPr="007567FE">
        <w:rPr>
          <w:b/>
          <w:bCs/>
          <w:lang w:val="en-US"/>
        </w:rPr>
        <w:t xml:space="preserve"> diverge and why</w:t>
      </w:r>
    </w:p>
    <w:p w14:paraId="0474642A" w14:textId="77777777" w:rsidR="007567FE" w:rsidRPr="007567FE" w:rsidRDefault="007567FE" w:rsidP="007567FE">
      <w:pPr>
        <w:rPr>
          <w:lang w:val="en-US"/>
        </w:rPr>
      </w:pPr>
      <w:r w:rsidRPr="007567FE">
        <w:rPr>
          <w:i/>
          <w:iCs/>
          <w:lang w:val="en-US"/>
        </w:rPr>
        <w:t>Off-resonance high-reactance antennas</w:t>
      </w:r>
      <w:r w:rsidRPr="007567FE">
        <w:rPr>
          <w:lang w:val="en-US"/>
        </w:rPr>
        <w:t xml:space="preserve"> — EFHW </w:t>
      </w:r>
      <w:proofErr w:type="gramStart"/>
      <w:r w:rsidRPr="007567FE">
        <w:rPr>
          <w:lang w:val="en-US"/>
        </w:rPr>
        <w:t>at</w:t>
      </w:r>
      <w:proofErr w:type="gramEnd"/>
      <w:r w:rsidRPr="007567FE">
        <w:rPr>
          <w:lang w:val="en-US"/>
        </w:rPr>
        <w:t xml:space="preserve"> 2000–5000 Ω, </w:t>
      </w:r>
      <w:proofErr w:type="gramStart"/>
      <w:r w:rsidRPr="007567FE">
        <w:rPr>
          <w:lang w:val="en-US"/>
        </w:rPr>
        <w:t>short loaded</w:t>
      </w:r>
      <w:proofErr w:type="gramEnd"/>
      <w:r w:rsidRPr="007567FE">
        <w:rPr>
          <w:lang w:val="en-US"/>
        </w:rPr>
        <w:t xml:space="preserve"> verticals, top-hat loaded monopoles. Reactance is exquisitely sensitive to </w:t>
      </w:r>
      <w:proofErr w:type="gramStart"/>
      <w:r w:rsidRPr="007567FE">
        <w:rPr>
          <w:lang w:val="en-US"/>
        </w:rPr>
        <w:t>the self</w:t>
      </w:r>
      <w:proofErr w:type="gramEnd"/>
      <w:r w:rsidRPr="007567FE">
        <w:rPr>
          <w:lang w:val="en-US"/>
        </w:rPr>
        <w:t>-term treatment and source placement. A 1 mm shift in effective feed location on a high-Q antenna can change X by hundreds of ohms. The MMINEC node-source vs NEC/</w:t>
      </w:r>
      <w:proofErr w:type="spellStart"/>
      <w:r w:rsidRPr="007567FE">
        <w:rPr>
          <w:lang w:val="en-US"/>
        </w:rPr>
        <w:t>NeoMoM</w:t>
      </w:r>
      <w:proofErr w:type="spellEnd"/>
      <w:r w:rsidRPr="007567FE">
        <w:rPr>
          <w:lang w:val="en-US"/>
        </w:rPr>
        <w:t xml:space="preserve"> segment-</w:t>
      </w:r>
      <w:proofErr w:type="spellStart"/>
      <w:r w:rsidRPr="007567FE">
        <w:rPr>
          <w:lang w:val="en-US"/>
        </w:rPr>
        <w:t>centre</w:t>
      </w:r>
      <w:proofErr w:type="spellEnd"/>
      <w:r w:rsidRPr="007567FE">
        <w:rPr>
          <w:lang w:val="en-US"/>
        </w:rPr>
        <w:t xml:space="preserve">-source difference is the dominant error source here. Hams will see MMANA-GAL and NEC disagree by 20–50% in X for EFHW antennas — </w:t>
      </w:r>
      <w:proofErr w:type="spellStart"/>
      <w:r w:rsidRPr="007567FE">
        <w:rPr>
          <w:lang w:val="en-US"/>
        </w:rPr>
        <w:t>NeoMoM</w:t>
      </w:r>
      <w:proofErr w:type="spellEnd"/>
      <w:r w:rsidRPr="007567FE">
        <w:rPr>
          <w:lang w:val="en-US"/>
        </w:rPr>
        <w:t xml:space="preserve"> will track NEC if the source placement is matched.</w:t>
      </w:r>
    </w:p>
    <w:p w14:paraId="003348FF" w14:textId="77777777" w:rsidR="007567FE" w:rsidRPr="007567FE" w:rsidRDefault="007567FE" w:rsidP="007567FE">
      <w:pPr>
        <w:rPr>
          <w:lang w:val="en-US"/>
        </w:rPr>
      </w:pPr>
      <w:r w:rsidRPr="007567FE">
        <w:rPr>
          <w:i/>
          <w:iCs/>
          <w:lang w:val="en-US"/>
        </w:rPr>
        <w:t>Electrically short antennas</w:t>
      </w:r>
      <w:r w:rsidRPr="007567FE">
        <w:rPr>
          <w:lang w:val="en-US"/>
        </w:rPr>
        <w:t xml:space="preserve"> — The MMINEC "end effect" is well known. MMANA-GAL systematically underestimates capacitive reactance on short antennas. NEC and </w:t>
      </w:r>
      <w:proofErr w:type="spellStart"/>
      <w:r w:rsidRPr="007567FE">
        <w:rPr>
          <w:lang w:val="en-US"/>
        </w:rPr>
        <w:t>NeoMoM</w:t>
      </w:r>
      <w:proofErr w:type="spellEnd"/>
      <w:r w:rsidRPr="007567FE">
        <w:rPr>
          <w:lang w:val="en-US"/>
        </w:rPr>
        <w:t xml:space="preserve"> are closer to the physical truth. Hams who have calibrated on MMANA-GAL will see </w:t>
      </w:r>
      <w:proofErr w:type="spellStart"/>
      <w:r w:rsidRPr="007567FE">
        <w:rPr>
          <w:lang w:val="en-US"/>
        </w:rPr>
        <w:t>NeoMoM</w:t>
      </w:r>
      <w:proofErr w:type="spellEnd"/>
      <w:r w:rsidRPr="007567FE">
        <w:rPr>
          <w:lang w:val="en-US"/>
        </w:rPr>
        <w:t xml:space="preserve"> report more negative X on a short vertical — </w:t>
      </w:r>
      <w:proofErr w:type="spellStart"/>
      <w:r w:rsidRPr="007567FE">
        <w:rPr>
          <w:lang w:val="en-US"/>
        </w:rPr>
        <w:t>NeoMoM</w:t>
      </w:r>
      <w:proofErr w:type="spellEnd"/>
      <w:r w:rsidRPr="007567FE">
        <w:rPr>
          <w:lang w:val="en-US"/>
        </w:rPr>
        <w:t xml:space="preserve"> is correct.</w:t>
      </w:r>
    </w:p>
    <w:p w14:paraId="4A8418C8" w14:textId="77777777" w:rsidR="007567FE" w:rsidRPr="007567FE" w:rsidRDefault="007567FE" w:rsidP="007567FE">
      <w:pPr>
        <w:rPr>
          <w:lang w:val="en-US"/>
        </w:rPr>
      </w:pPr>
      <w:r w:rsidRPr="007567FE">
        <w:rPr>
          <w:i/>
          <w:iCs/>
          <w:lang w:val="en-US"/>
        </w:rPr>
        <w:t>Junctions</w:t>
      </w:r>
      <w:r w:rsidRPr="007567FE">
        <w:rPr>
          <w:lang w:val="en-US"/>
        </w:rPr>
        <w:t xml:space="preserve"> — The top-hat hub is where all three codes diverge most. MMANA-GAL handles it least rigorously (junction currents not strictly enforced). NEC-5 handles it well. </w:t>
      </w:r>
      <w:proofErr w:type="spellStart"/>
      <w:r w:rsidRPr="007567FE">
        <w:rPr>
          <w:lang w:val="en-US"/>
        </w:rPr>
        <w:t>NeoMoM</w:t>
      </w:r>
      <w:proofErr w:type="spellEnd"/>
      <w:r w:rsidRPr="007567FE">
        <w:rPr>
          <w:lang w:val="en-US"/>
        </w:rPr>
        <w:t xml:space="preserve"> with the </w:t>
      </w:r>
      <w:proofErr w:type="spellStart"/>
      <w:r w:rsidRPr="007567FE">
        <w:rPr>
          <w:lang w:val="en-US"/>
        </w:rPr>
        <w:t>anchor+partners</w:t>
      </w:r>
      <w:proofErr w:type="spellEnd"/>
      <w:r w:rsidRPr="007567FE">
        <w:rPr>
          <w:lang w:val="en-US"/>
        </w:rPr>
        <w:t xml:space="preserve"> basis is now correct but produces a different </w:t>
      </w:r>
      <w:proofErr w:type="spellStart"/>
      <w:r w:rsidRPr="007567FE">
        <w:rPr>
          <w:lang w:val="en-US"/>
        </w:rPr>
        <w:t>Z_in</w:t>
      </w:r>
      <w:proofErr w:type="spellEnd"/>
      <w:r w:rsidRPr="007567FE">
        <w:rPr>
          <w:lang w:val="en-US"/>
        </w:rPr>
        <w:t xml:space="preserve"> than NEC for off-resonance cases because the rooftop vs sinusoidal basis gives different effective current distributions near the hub.</w:t>
      </w:r>
    </w:p>
    <w:p w14:paraId="48B788B3" w14:textId="77777777" w:rsidR="007567FE" w:rsidRPr="007567FE" w:rsidRDefault="007567FE" w:rsidP="007567FE">
      <w:pPr>
        <w:rPr>
          <w:lang w:val="en-US"/>
        </w:rPr>
      </w:pPr>
      <w:r w:rsidRPr="007567FE">
        <w:rPr>
          <w:i/>
          <w:iCs/>
          <w:lang w:val="en-US"/>
        </w:rPr>
        <w:t>Segment count sensitivity</w:t>
      </w:r>
      <w:r w:rsidRPr="007567FE">
        <w:rPr>
          <w:lang w:val="en-US"/>
        </w:rPr>
        <w:t xml:space="preserve"> — MMINEC converges slowly and hams often run very coarse meshes (5–10 segments on a half-wave element). NEC converges faster. </w:t>
      </w:r>
      <w:proofErr w:type="spellStart"/>
      <w:r w:rsidRPr="007567FE">
        <w:rPr>
          <w:lang w:val="en-US"/>
        </w:rPr>
        <w:t>NeoMoM</w:t>
      </w:r>
      <w:proofErr w:type="spellEnd"/>
      <w:r w:rsidRPr="007567FE">
        <w:rPr>
          <w:lang w:val="en-US"/>
        </w:rPr>
        <w:t xml:space="preserve"> with Galerkin rooftop also converges fast. </w:t>
      </w:r>
      <w:proofErr w:type="gramStart"/>
      <w:r w:rsidRPr="007567FE">
        <w:rPr>
          <w:lang w:val="en-US"/>
        </w:rPr>
        <w:t>At coarse mesh density</w:t>
      </w:r>
      <w:proofErr w:type="gramEnd"/>
      <w:r w:rsidRPr="007567FE">
        <w:rPr>
          <w:lang w:val="en-US"/>
        </w:rPr>
        <w:t>, MMANA-GAL will be the outlier.</w:t>
      </w:r>
    </w:p>
    <w:p w14:paraId="44040D4C" w14:textId="77777777" w:rsidR="007567FE" w:rsidRPr="007567FE" w:rsidRDefault="007567FE" w:rsidP="007567FE">
      <w:pPr>
        <w:rPr>
          <w:lang w:val="en-US"/>
        </w:rPr>
      </w:pPr>
      <w:r w:rsidRPr="007567FE">
        <w:rPr>
          <w:b/>
          <w:bCs/>
          <w:lang w:val="en-US"/>
        </w:rPr>
        <w:t>Practical guidance for ham-facing validation</w:t>
      </w:r>
    </w:p>
    <w:p w14:paraId="6A7F0761" w14:textId="77777777" w:rsidR="007567FE" w:rsidRPr="007567FE" w:rsidRDefault="007567FE" w:rsidP="007567FE">
      <w:pPr>
        <w:rPr>
          <w:lang w:val="en-US"/>
        </w:rPr>
      </w:pPr>
      <w:r w:rsidRPr="007567FE">
        <w:rPr>
          <w:lang w:val="en-US"/>
        </w:rPr>
        <w:t>Run these three canonical cases and document the results:</w:t>
      </w:r>
    </w:p>
    <w:p w14:paraId="264B0E39" w14:textId="77777777" w:rsidR="007567FE" w:rsidRPr="007567FE" w:rsidRDefault="007567FE" w:rsidP="007567FE">
      <w:pPr>
        <w:numPr>
          <w:ilvl w:val="0"/>
          <w:numId w:val="2"/>
        </w:numPr>
        <w:rPr>
          <w:lang w:val="en-US"/>
        </w:rPr>
      </w:pPr>
      <w:r w:rsidRPr="007567FE">
        <w:rPr>
          <w:b/>
          <w:bCs/>
          <w:lang w:val="en-US"/>
        </w:rPr>
        <w:lastRenderedPageBreak/>
        <w:t>Half-wave dipole</w:t>
      </w:r>
      <w:r w:rsidRPr="007567FE">
        <w:rPr>
          <w:lang w:val="en-US"/>
        </w:rPr>
        <w:t xml:space="preserve"> at a range of frequencies (0.5 to 30 MHz) — all three should agree within ±3 Ω in R and ±5 Ω in X. If </w:t>
      </w:r>
      <w:proofErr w:type="spellStart"/>
      <w:r w:rsidRPr="007567FE">
        <w:rPr>
          <w:lang w:val="en-US"/>
        </w:rPr>
        <w:t>NeoMoM</w:t>
      </w:r>
      <w:proofErr w:type="spellEnd"/>
      <w:r w:rsidRPr="007567FE">
        <w:rPr>
          <w:lang w:val="en-US"/>
        </w:rPr>
        <w:t xml:space="preserve"> passes this, it's credible.</w:t>
      </w:r>
    </w:p>
    <w:p w14:paraId="286D6F75" w14:textId="77777777" w:rsidR="007567FE" w:rsidRPr="007567FE" w:rsidRDefault="007567FE" w:rsidP="007567FE">
      <w:pPr>
        <w:numPr>
          <w:ilvl w:val="0"/>
          <w:numId w:val="2"/>
        </w:numPr>
        <w:rPr>
          <w:lang w:val="en-US"/>
        </w:rPr>
      </w:pPr>
      <w:r w:rsidRPr="007567FE">
        <w:rPr>
          <w:b/>
          <w:bCs/>
          <w:lang w:val="en-US"/>
        </w:rPr>
        <w:t xml:space="preserve">Quarter-wave </w:t>
      </w:r>
      <w:proofErr w:type="gramStart"/>
      <w:r w:rsidRPr="007567FE">
        <w:rPr>
          <w:b/>
          <w:bCs/>
          <w:lang w:val="en-US"/>
        </w:rPr>
        <w:t>monopole</w:t>
      </w:r>
      <w:proofErr w:type="gramEnd"/>
      <w:r w:rsidRPr="007567FE">
        <w:rPr>
          <w:lang w:val="en-US"/>
        </w:rPr>
        <w:t> over a perfect ground, then over 4 / 8 / 16 radials — comparison with NEC-5 is the benchmark. Agreement within 5% in R establishes junction handling is correct.</w:t>
      </w:r>
    </w:p>
    <w:p w14:paraId="0959B1AD" w14:textId="77777777" w:rsidR="007567FE" w:rsidRPr="007567FE" w:rsidRDefault="007567FE" w:rsidP="007567FE">
      <w:pPr>
        <w:numPr>
          <w:ilvl w:val="0"/>
          <w:numId w:val="2"/>
        </w:numPr>
        <w:rPr>
          <w:lang w:val="en-US"/>
        </w:rPr>
      </w:pPr>
      <w:r w:rsidRPr="007567FE">
        <w:rPr>
          <w:b/>
          <w:bCs/>
          <w:lang w:val="en-US"/>
        </w:rPr>
        <w:t>Folded dipole</w:t>
      </w:r>
      <w:r w:rsidRPr="007567FE">
        <w:rPr>
          <w:lang w:val="en-US"/>
        </w:rPr>
        <w:t> — known analytical result R≈292 Ω at resonance. All three should hit this within ±10 Ω. Tests the two-junction case.</w:t>
      </w:r>
    </w:p>
    <w:p w14:paraId="5101E8FA" w14:textId="77777777" w:rsidR="007567FE" w:rsidRPr="007567FE" w:rsidRDefault="007567FE" w:rsidP="007567FE">
      <w:pPr>
        <w:numPr>
          <w:ilvl w:val="0"/>
          <w:numId w:val="2"/>
        </w:numPr>
        <w:rPr>
          <w:lang w:val="en-US"/>
        </w:rPr>
      </w:pPr>
      <w:r w:rsidRPr="007567FE">
        <w:rPr>
          <w:b/>
          <w:bCs/>
          <w:lang w:val="en-US"/>
        </w:rPr>
        <w:t>EFHW at 7 MHz</w:t>
      </w:r>
      <w:r w:rsidRPr="007567FE">
        <w:rPr>
          <w:lang w:val="en-US"/>
        </w:rPr>
        <w:t xml:space="preserve"> (a common ham antenna) — NEC and </w:t>
      </w:r>
      <w:proofErr w:type="spellStart"/>
      <w:r w:rsidRPr="007567FE">
        <w:rPr>
          <w:lang w:val="en-US"/>
        </w:rPr>
        <w:t>NeoMoM</w:t>
      </w:r>
      <w:proofErr w:type="spellEnd"/>
      <w:r w:rsidRPr="007567FE">
        <w:rPr>
          <w:lang w:val="en-US"/>
        </w:rPr>
        <w:t xml:space="preserve"> should agree with each other. MMANA-GAL will likely differ. Document this explicitly and explain </w:t>
      </w:r>
      <w:r w:rsidRPr="007567FE">
        <w:rPr>
          <w:i/>
          <w:iCs/>
          <w:lang w:val="en-US"/>
        </w:rPr>
        <w:t>why</w:t>
      </w:r>
      <w:r w:rsidRPr="007567FE">
        <w:rPr>
          <w:lang w:val="en-US"/>
        </w:rPr>
        <w:t xml:space="preserve"> rather than </w:t>
      </w:r>
      <w:proofErr w:type="gramStart"/>
      <w:r w:rsidRPr="007567FE">
        <w:rPr>
          <w:lang w:val="en-US"/>
        </w:rPr>
        <w:t>defending</w:t>
      </w:r>
      <w:proofErr w:type="gramEnd"/>
      <w:r w:rsidRPr="007567FE">
        <w:rPr>
          <w:lang w:val="en-US"/>
        </w:rPr>
        <w:t xml:space="preserve"> </w:t>
      </w:r>
      <w:proofErr w:type="spellStart"/>
      <w:r w:rsidRPr="007567FE">
        <w:rPr>
          <w:lang w:val="en-US"/>
        </w:rPr>
        <w:t>NeoMoM's</w:t>
      </w:r>
      <w:proofErr w:type="spellEnd"/>
      <w:r w:rsidRPr="007567FE">
        <w:rPr>
          <w:lang w:val="en-US"/>
        </w:rPr>
        <w:t xml:space="preserve"> number.</w:t>
      </w:r>
    </w:p>
    <w:p w14:paraId="5153A253" w14:textId="77777777" w:rsidR="007567FE" w:rsidRPr="007567FE" w:rsidRDefault="007567FE" w:rsidP="007567FE">
      <w:pPr>
        <w:rPr>
          <w:lang w:val="en-US"/>
        </w:rPr>
      </w:pPr>
      <w:r w:rsidRPr="007567FE">
        <w:rPr>
          <w:b/>
          <w:bCs/>
          <w:lang w:val="en-US"/>
        </w:rPr>
        <w:t>The most important message for hams</w:t>
      </w:r>
    </w:p>
    <w:p w14:paraId="10872C63" w14:textId="77777777" w:rsidR="007567FE" w:rsidRPr="007567FE" w:rsidRDefault="007567FE" w:rsidP="007567FE">
      <w:pPr>
        <w:rPr>
          <w:lang w:val="en-US"/>
        </w:rPr>
      </w:pPr>
      <w:r w:rsidRPr="007567FE">
        <w:rPr>
          <w:lang w:val="en-US"/>
        </w:rPr>
        <w:t xml:space="preserve">Frame it this way: </w:t>
      </w:r>
      <w:proofErr w:type="spellStart"/>
      <w:r w:rsidRPr="007567FE">
        <w:rPr>
          <w:lang w:val="en-US"/>
        </w:rPr>
        <w:t>NeoMoM</w:t>
      </w:r>
      <w:proofErr w:type="spellEnd"/>
      <w:r w:rsidRPr="007567FE">
        <w:rPr>
          <w:lang w:val="en-US"/>
        </w:rPr>
        <w:t xml:space="preserve"> uses the same mathematical formulation as NEC (Galerkin, delta-gap at segment </w:t>
      </w:r>
      <w:proofErr w:type="spellStart"/>
      <w:r w:rsidRPr="007567FE">
        <w:rPr>
          <w:lang w:val="en-US"/>
        </w:rPr>
        <w:t>centre</w:t>
      </w:r>
      <w:proofErr w:type="spellEnd"/>
      <w:r w:rsidRPr="007567FE">
        <w:rPr>
          <w:lang w:val="en-US"/>
        </w:rPr>
        <w:t xml:space="preserve">, symmetric matrix). For resonant antennas it agrees with NEC/EZNEC to within 1–3%. For off-resonance, high-impedance antennas it agrees with NEC and disagrees with MMANA-GAL — and the NEC number is closer to what you measure on a vector network </w:t>
      </w:r>
      <w:proofErr w:type="spellStart"/>
      <w:r w:rsidRPr="007567FE">
        <w:rPr>
          <w:lang w:val="en-US"/>
        </w:rPr>
        <w:t>analyser</w:t>
      </w:r>
      <w:proofErr w:type="spellEnd"/>
      <w:r w:rsidRPr="007567FE">
        <w:rPr>
          <w:lang w:val="en-US"/>
        </w:rPr>
        <w:t xml:space="preserve">. MMANA-GAL's MMINEC engine has known systematic errors for high-Z feeds that hams have learned to compensate for empirically; </w:t>
      </w:r>
      <w:proofErr w:type="spellStart"/>
      <w:r w:rsidRPr="007567FE">
        <w:rPr>
          <w:lang w:val="en-US"/>
        </w:rPr>
        <w:t>NeoMoM</w:t>
      </w:r>
      <w:proofErr w:type="spellEnd"/>
      <w:r w:rsidRPr="007567FE">
        <w:rPr>
          <w:lang w:val="en-US"/>
        </w:rPr>
        <w:t xml:space="preserve"> doesn't have those errors.</w:t>
      </w:r>
    </w:p>
    <w:p w14:paraId="2CBE8A76" w14:textId="77777777" w:rsidR="007567FE" w:rsidRPr="007567FE" w:rsidRDefault="007567FE" w:rsidP="007567FE">
      <w:pPr>
        <w:rPr>
          <w:lang w:val="en-US"/>
        </w:rPr>
      </w:pPr>
      <w:r w:rsidRPr="007567FE">
        <w:rPr>
          <w:b/>
          <w:bCs/>
          <w:lang w:val="en-US"/>
        </w:rPr>
        <w:t>One concrete thing to implement now</w:t>
      </w:r>
    </w:p>
    <w:p w14:paraId="24D2A90F" w14:textId="77777777" w:rsidR="007567FE" w:rsidRPr="007567FE" w:rsidRDefault="007567FE" w:rsidP="007567FE">
      <w:pPr>
        <w:rPr>
          <w:lang w:val="en-US"/>
        </w:rPr>
      </w:pPr>
      <w:r w:rsidRPr="007567FE">
        <w:rPr>
          <w:lang w:val="en-US"/>
        </w:rPr>
        <w:t xml:space="preserve">Add a comparison table to </w:t>
      </w:r>
      <w:proofErr w:type="spellStart"/>
      <w:r w:rsidRPr="007567FE">
        <w:rPr>
          <w:lang w:val="en-US"/>
        </w:rPr>
        <w:t>NeoMoM's</w:t>
      </w:r>
      <w:proofErr w:type="spellEnd"/>
      <w:r w:rsidRPr="007567FE">
        <w:rPr>
          <w:lang w:val="en-US"/>
        </w:rPr>
        <w:t xml:space="preserve"> output for the standard half-wave dipole case — run it automatically as a self-test and print "</w:t>
      </w:r>
      <w:proofErr w:type="spellStart"/>
      <w:r w:rsidRPr="007567FE">
        <w:rPr>
          <w:lang w:val="en-US"/>
        </w:rPr>
        <w:t>NeoMoM</w:t>
      </w:r>
      <w:proofErr w:type="spellEnd"/>
      <w:r w:rsidRPr="007567FE">
        <w:rPr>
          <w:lang w:val="en-US"/>
        </w:rPr>
        <w:t>: 73.1 + j42.3 Ω NEC reference: 73.1 + j42.1 Ω Δ: 0.0%/0.5%" at startup. Hams who see that will trust everything else that follows.</w:t>
      </w:r>
    </w:p>
    <w:p w14:paraId="295CB64A" w14:textId="77777777" w:rsidR="00B77122" w:rsidRDefault="00B77122"/>
    <w:sectPr w:rsidR="00B77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A5C91"/>
    <w:multiLevelType w:val="multilevel"/>
    <w:tmpl w:val="D718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FE4079A"/>
    <w:multiLevelType w:val="multilevel"/>
    <w:tmpl w:val="AE76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985997">
    <w:abstractNumId w:val="0"/>
  </w:num>
  <w:num w:numId="2" w16cid:durableId="1960912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7FE"/>
    <w:rsid w:val="000555A3"/>
    <w:rsid w:val="001D66AA"/>
    <w:rsid w:val="006953CB"/>
    <w:rsid w:val="007567FE"/>
    <w:rsid w:val="00AD0E4A"/>
    <w:rsid w:val="00B77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1D7B9"/>
  <w15:chartTrackingRefBased/>
  <w15:docId w15:val="{4925ACCE-0EF0-42B2-A296-B6F456E1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E4A"/>
    <w:pPr>
      <w:spacing w:after="0" w:line="240" w:lineRule="auto"/>
    </w:pPr>
    <w:rPr>
      <w:rFonts w:ascii="Aptos" w:hAnsi="Aptos" w:cs="Times New Roman"/>
      <w:kern w:val="0"/>
      <w:szCs w:val="20"/>
      <w:lang w:val="en-GB"/>
      <w14:ligatures w14:val="none"/>
    </w:rPr>
  </w:style>
  <w:style w:type="paragraph" w:styleId="Heading1">
    <w:name w:val="heading 1"/>
    <w:basedOn w:val="Normal"/>
    <w:next w:val="Normal"/>
    <w:link w:val="Heading1Char"/>
    <w:uiPriority w:val="9"/>
    <w:qFormat/>
    <w:rsid w:val="00756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7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7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67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67F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67F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67F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67F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7FE"/>
    <w:rPr>
      <w:rFonts w:asciiTheme="majorHAnsi" w:eastAsiaTheme="majorEastAsia" w:hAnsiTheme="majorHAnsi" w:cstheme="majorBidi"/>
      <w:color w:val="0F4761"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7567FE"/>
    <w:rPr>
      <w:rFonts w:asciiTheme="majorHAnsi" w:eastAsiaTheme="majorEastAsia" w:hAnsiTheme="majorHAnsi" w:cstheme="majorBidi"/>
      <w:color w:val="0F4761"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7567FE"/>
    <w:rPr>
      <w:rFonts w:eastAsiaTheme="majorEastAsia" w:cstheme="majorBidi"/>
      <w:color w:val="0F4761"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7567FE"/>
    <w:rPr>
      <w:rFonts w:eastAsiaTheme="majorEastAsia" w:cstheme="majorBidi"/>
      <w:i/>
      <w:iCs/>
      <w:color w:val="0F4761" w:themeColor="accent1" w:themeShade="BF"/>
      <w:kern w:val="0"/>
      <w:szCs w:val="20"/>
      <w:lang w:val="en-GB"/>
      <w14:ligatures w14:val="none"/>
    </w:rPr>
  </w:style>
  <w:style w:type="character" w:customStyle="1" w:styleId="Heading5Char">
    <w:name w:val="Heading 5 Char"/>
    <w:basedOn w:val="DefaultParagraphFont"/>
    <w:link w:val="Heading5"/>
    <w:uiPriority w:val="9"/>
    <w:semiHidden/>
    <w:rsid w:val="007567FE"/>
    <w:rPr>
      <w:rFonts w:eastAsiaTheme="majorEastAsia" w:cstheme="majorBidi"/>
      <w:color w:val="0F4761" w:themeColor="accent1" w:themeShade="BF"/>
      <w:kern w:val="0"/>
      <w:szCs w:val="20"/>
      <w:lang w:val="en-GB"/>
      <w14:ligatures w14:val="none"/>
    </w:rPr>
  </w:style>
  <w:style w:type="character" w:customStyle="1" w:styleId="Heading6Char">
    <w:name w:val="Heading 6 Char"/>
    <w:basedOn w:val="DefaultParagraphFont"/>
    <w:link w:val="Heading6"/>
    <w:uiPriority w:val="9"/>
    <w:semiHidden/>
    <w:rsid w:val="007567FE"/>
    <w:rPr>
      <w:rFonts w:eastAsiaTheme="majorEastAsia" w:cstheme="majorBidi"/>
      <w:i/>
      <w:iCs/>
      <w:color w:val="595959" w:themeColor="text1" w:themeTint="A6"/>
      <w:kern w:val="0"/>
      <w:szCs w:val="20"/>
      <w:lang w:val="en-GB"/>
      <w14:ligatures w14:val="none"/>
    </w:rPr>
  </w:style>
  <w:style w:type="character" w:customStyle="1" w:styleId="Heading7Char">
    <w:name w:val="Heading 7 Char"/>
    <w:basedOn w:val="DefaultParagraphFont"/>
    <w:link w:val="Heading7"/>
    <w:uiPriority w:val="9"/>
    <w:semiHidden/>
    <w:rsid w:val="007567FE"/>
    <w:rPr>
      <w:rFonts w:eastAsiaTheme="majorEastAsia" w:cstheme="majorBidi"/>
      <w:color w:val="595959" w:themeColor="text1" w:themeTint="A6"/>
      <w:kern w:val="0"/>
      <w:szCs w:val="20"/>
      <w:lang w:val="en-GB"/>
      <w14:ligatures w14:val="none"/>
    </w:rPr>
  </w:style>
  <w:style w:type="character" w:customStyle="1" w:styleId="Heading8Char">
    <w:name w:val="Heading 8 Char"/>
    <w:basedOn w:val="DefaultParagraphFont"/>
    <w:link w:val="Heading8"/>
    <w:uiPriority w:val="9"/>
    <w:semiHidden/>
    <w:rsid w:val="007567FE"/>
    <w:rPr>
      <w:rFonts w:eastAsiaTheme="majorEastAsia" w:cstheme="majorBidi"/>
      <w:i/>
      <w:iCs/>
      <w:color w:val="272727" w:themeColor="text1" w:themeTint="D8"/>
      <w:kern w:val="0"/>
      <w:szCs w:val="20"/>
      <w:lang w:val="en-GB"/>
      <w14:ligatures w14:val="none"/>
    </w:rPr>
  </w:style>
  <w:style w:type="character" w:customStyle="1" w:styleId="Heading9Char">
    <w:name w:val="Heading 9 Char"/>
    <w:basedOn w:val="DefaultParagraphFont"/>
    <w:link w:val="Heading9"/>
    <w:uiPriority w:val="9"/>
    <w:semiHidden/>
    <w:rsid w:val="007567FE"/>
    <w:rPr>
      <w:rFonts w:eastAsiaTheme="majorEastAsia" w:cstheme="majorBidi"/>
      <w:color w:val="272727" w:themeColor="text1" w:themeTint="D8"/>
      <w:kern w:val="0"/>
      <w:szCs w:val="20"/>
      <w:lang w:val="en-GB"/>
      <w14:ligatures w14:val="none"/>
    </w:rPr>
  </w:style>
  <w:style w:type="paragraph" w:styleId="Title">
    <w:name w:val="Title"/>
    <w:basedOn w:val="Normal"/>
    <w:next w:val="Normal"/>
    <w:link w:val="TitleChar"/>
    <w:uiPriority w:val="10"/>
    <w:qFormat/>
    <w:rsid w:val="007567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7FE"/>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7567F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7FE"/>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7567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67FE"/>
    <w:rPr>
      <w:rFonts w:ascii="Aptos" w:hAnsi="Aptos" w:cs="Times New Roman"/>
      <w:i/>
      <w:iCs/>
      <w:color w:val="404040" w:themeColor="text1" w:themeTint="BF"/>
      <w:kern w:val="0"/>
      <w:szCs w:val="20"/>
      <w:lang w:val="en-GB"/>
      <w14:ligatures w14:val="none"/>
    </w:rPr>
  </w:style>
  <w:style w:type="paragraph" w:styleId="ListParagraph">
    <w:name w:val="List Paragraph"/>
    <w:basedOn w:val="Normal"/>
    <w:uiPriority w:val="34"/>
    <w:qFormat/>
    <w:rsid w:val="007567FE"/>
    <w:pPr>
      <w:ind w:left="720"/>
      <w:contextualSpacing/>
    </w:pPr>
  </w:style>
  <w:style w:type="character" w:styleId="IntenseEmphasis">
    <w:name w:val="Intense Emphasis"/>
    <w:basedOn w:val="DefaultParagraphFont"/>
    <w:uiPriority w:val="21"/>
    <w:qFormat/>
    <w:rsid w:val="007567FE"/>
    <w:rPr>
      <w:i/>
      <w:iCs/>
      <w:color w:val="0F4761" w:themeColor="accent1" w:themeShade="BF"/>
    </w:rPr>
  </w:style>
  <w:style w:type="paragraph" w:styleId="IntenseQuote">
    <w:name w:val="Intense Quote"/>
    <w:basedOn w:val="Normal"/>
    <w:next w:val="Normal"/>
    <w:link w:val="IntenseQuoteChar"/>
    <w:uiPriority w:val="30"/>
    <w:qFormat/>
    <w:rsid w:val="00756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7FE"/>
    <w:rPr>
      <w:rFonts w:ascii="Aptos" w:hAnsi="Aptos" w:cs="Times New Roman"/>
      <w:i/>
      <w:iCs/>
      <w:color w:val="0F4761" w:themeColor="accent1" w:themeShade="BF"/>
      <w:kern w:val="0"/>
      <w:szCs w:val="20"/>
      <w:lang w:val="en-GB"/>
      <w14:ligatures w14:val="none"/>
    </w:rPr>
  </w:style>
  <w:style w:type="character" w:styleId="IntenseReference">
    <w:name w:val="Intense Reference"/>
    <w:basedOn w:val="DefaultParagraphFont"/>
    <w:uiPriority w:val="32"/>
    <w:qFormat/>
    <w:rsid w:val="007567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719</Words>
  <Characters>3953</Characters>
  <Application>Microsoft Office Word</Application>
  <DocSecurity>0</DocSecurity>
  <Lines>47</Lines>
  <Paragraphs>13</Paragraphs>
  <ScaleCrop>false</ScaleCrop>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Shaeffer</dc:creator>
  <cp:keywords/>
  <dc:description/>
  <cp:lastModifiedBy>John Shaeffer</cp:lastModifiedBy>
  <cp:revision>1</cp:revision>
  <cp:lastPrinted>2026-06-07T12:28:00Z</cp:lastPrinted>
  <dcterms:created xsi:type="dcterms:W3CDTF">2026-06-05T15:57:00Z</dcterms:created>
  <dcterms:modified xsi:type="dcterms:W3CDTF">2026-06-07T12:30:00Z</dcterms:modified>
</cp:coreProperties>
</file>