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827"/>
          <w:sz w:val="36"/>
        </w:rPr>
        <w:t>Custom Data Collection, broad starter rules for all six tables</w:t>
      </w:r>
    </w:p>
    <w:p>
      <w:r>
        <w:rPr>
          <w:i/>
          <w:color w:val="475569"/>
          <w:sz w:val="21"/>
        </w:rPr>
        <w:t>Purpose: create one rule per table with a single wide open condition, so nothing is filtered out. This exists to populate the validation workbook end to end, not as a permanent hunt configuration. Once confirmed working, narrow each rule down to the real hunt scope.</w:t>
      </w:r>
    </w:p>
    <w:p/>
    <w:p>
      <w:r>
        <w:rPr>
          <w:b/>
          <w:color w:val="2563EB"/>
          <w:sz w:val="24"/>
        </w:rPr>
        <w:t>Where to build these</w:t>
      </w:r>
    </w:p>
    <w:p>
      <w:r>
        <w:rPr>
          <w:sz w:val="21"/>
        </w:rPr>
        <w:t>Microsoft Defender portal, Settings, Endpoints, Custom data collection rules (or search Custom data collection). Select Create rule for each of the six tables below. Each rule allows exactly one action type, required single select. Every rule caps at 75,000 events per device per 24 hour rolling window.</w:t>
      </w:r>
    </w:p>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1872"/>
            <w:shd w:fill="2563EB"/>
          </w:tcPr>
          <w:p>
            <w:r/>
            <w:r>
              <w:rPr>
                <w:b/>
                <w:color w:val="FFFFFF"/>
                <w:sz w:val="20"/>
              </w:rPr>
              <w:t>Table</w:t>
            </w:r>
          </w:p>
        </w:tc>
        <w:tc>
          <w:tcPr>
            <w:tcW w:type="dxa" w:w="2304"/>
            <w:shd w:fill="2563EB"/>
          </w:tcPr>
          <w:p>
            <w:r/>
            <w:r>
              <w:rPr>
                <w:b/>
                <w:color w:val="FFFFFF"/>
                <w:sz w:val="20"/>
              </w:rPr>
              <w:t>Action type</w:t>
              <w:br/>
              <w:t>(single select)</w:t>
            </w:r>
          </w:p>
        </w:tc>
        <w:tc>
          <w:tcPr>
            <w:tcW w:type="dxa" w:w="2160"/>
            <w:shd w:fill="2563EB"/>
          </w:tcPr>
          <w:p>
            <w:r/>
            <w:r>
              <w:rPr>
                <w:b/>
                <w:color w:val="FFFFFF"/>
                <w:sz w:val="20"/>
              </w:rPr>
              <w:t>Condition field</w:t>
            </w:r>
          </w:p>
        </w:tc>
        <w:tc>
          <w:tcPr>
            <w:tcW w:type="dxa" w:w="1584"/>
            <w:shd w:fill="2563EB"/>
          </w:tcPr>
          <w:p>
            <w:r/>
            <w:r>
              <w:rPr>
                <w:b/>
                <w:color w:val="FFFFFF"/>
                <w:sz w:val="20"/>
              </w:rPr>
              <w:t>Operator</w:t>
            </w:r>
          </w:p>
        </w:tc>
        <w:tc>
          <w:tcPr>
            <w:tcW w:type="dxa" w:w="2160"/>
            <w:shd w:fill="2563EB"/>
          </w:tcPr>
          <w:p>
            <w:r/>
            <w:r>
              <w:rPr>
                <w:b/>
                <w:color w:val="FFFFFF"/>
                <w:sz w:val="20"/>
              </w:rPr>
              <w:t>Value</w:t>
            </w:r>
          </w:p>
        </w:tc>
      </w:tr>
      <w:tr>
        <w:tc>
          <w:tcPr>
            <w:tcW w:type="dxa" w:w="1872"/>
          </w:tcPr>
          <w:p>
            <w:r/>
            <w:r>
              <w:rPr>
                <w:b/>
                <w:sz w:val="20"/>
              </w:rPr>
              <w:t>Process</w:t>
            </w:r>
          </w:p>
        </w:tc>
        <w:tc>
          <w:tcPr>
            <w:tcW w:type="dxa" w:w="2304"/>
          </w:tcPr>
          <w:p>
            <w:r/>
            <w:r>
              <w:rPr>
                <w:b w:val="0"/>
                <w:sz w:val="20"/>
              </w:rPr>
              <w:t>ProcessCreated</w:t>
            </w:r>
          </w:p>
        </w:tc>
        <w:tc>
          <w:tcPr>
            <w:tcW w:type="dxa" w:w="2160"/>
          </w:tcPr>
          <w:p>
            <w:r/>
            <w:r>
              <w:rPr>
                <w:b w:val="0"/>
                <w:sz w:val="20"/>
              </w:rPr>
              <w:t>ProcessCommandLine</w:t>
            </w:r>
          </w:p>
        </w:tc>
        <w:tc>
          <w:tcPr>
            <w:tcW w:type="dxa" w:w="1584"/>
          </w:tcPr>
          <w:p>
            <w:r/>
            <w:r>
              <w:rPr>
                <w:b w:val="0"/>
                <w:sz w:val="20"/>
              </w:rPr>
              <w:t>Not equals</w:t>
            </w:r>
          </w:p>
        </w:tc>
        <w:tc>
          <w:tcPr>
            <w:tcW w:type="dxa" w:w="2160"/>
          </w:tcPr>
          <w:p>
            <w:r/>
            <w:r>
              <w:rPr>
                <w:b w:val="0"/>
                <w:sz w:val="20"/>
              </w:rPr>
              <w:t>(leave the value blank)</w:t>
            </w:r>
          </w:p>
        </w:tc>
      </w:tr>
      <w:tr>
        <w:tc>
          <w:tcPr>
            <w:tcW w:type="dxa" w:w="1872"/>
          </w:tcPr>
          <w:p>
            <w:r/>
            <w:r>
              <w:rPr>
                <w:b/>
                <w:sz w:val="20"/>
              </w:rPr>
              <w:t>Image load</w:t>
            </w:r>
          </w:p>
        </w:tc>
        <w:tc>
          <w:tcPr>
            <w:tcW w:type="dxa" w:w="2304"/>
          </w:tcPr>
          <w:p>
            <w:r/>
            <w:r>
              <w:rPr>
                <w:b w:val="0"/>
                <w:sz w:val="20"/>
              </w:rPr>
              <w:t>ImageLoaded</w:t>
            </w:r>
          </w:p>
        </w:tc>
        <w:tc>
          <w:tcPr>
            <w:tcW w:type="dxa" w:w="2160"/>
          </w:tcPr>
          <w:p>
            <w:r/>
            <w:r>
              <w:rPr>
                <w:b w:val="0"/>
                <w:sz w:val="20"/>
              </w:rPr>
              <w:t>FileName</w:t>
            </w:r>
          </w:p>
        </w:tc>
        <w:tc>
          <w:tcPr>
            <w:tcW w:type="dxa" w:w="1584"/>
          </w:tcPr>
          <w:p>
            <w:r/>
            <w:r>
              <w:rPr>
                <w:b w:val="0"/>
                <w:sz w:val="20"/>
              </w:rPr>
              <w:t>Not equals</w:t>
            </w:r>
          </w:p>
        </w:tc>
        <w:tc>
          <w:tcPr>
            <w:tcW w:type="dxa" w:w="2160"/>
          </w:tcPr>
          <w:p>
            <w:r/>
            <w:r>
              <w:rPr>
                <w:b w:val="0"/>
                <w:sz w:val="20"/>
              </w:rPr>
              <w:t>(leave the value blank)</w:t>
            </w:r>
          </w:p>
        </w:tc>
      </w:tr>
      <w:tr>
        <w:tc>
          <w:tcPr>
            <w:tcW w:type="dxa" w:w="1872"/>
          </w:tcPr>
          <w:p>
            <w:r/>
            <w:r>
              <w:rPr>
                <w:b/>
                <w:sz w:val="20"/>
              </w:rPr>
              <w:t>File</w:t>
            </w:r>
          </w:p>
        </w:tc>
        <w:tc>
          <w:tcPr>
            <w:tcW w:type="dxa" w:w="2304"/>
          </w:tcPr>
          <w:p>
            <w:r/>
            <w:r>
              <w:rPr>
                <w:b w:val="0"/>
                <w:sz w:val="20"/>
              </w:rPr>
              <w:t>FileCreated</w:t>
            </w:r>
          </w:p>
        </w:tc>
        <w:tc>
          <w:tcPr>
            <w:tcW w:type="dxa" w:w="2160"/>
          </w:tcPr>
          <w:p>
            <w:r/>
            <w:r>
              <w:rPr>
                <w:b w:val="0"/>
                <w:sz w:val="20"/>
              </w:rPr>
              <w:t>FileName</w:t>
            </w:r>
          </w:p>
        </w:tc>
        <w:tc>
          <w:tcPr>
            <w:tcW w:type="dxa" w:w="1584"/>
          </w:tcPr>
          <w:p>
            <w:r/>
            <w:r>
              <w:rPr>
                <w:b w:val="0"/>
                <w:sz w:val="20"/>
              </w:rPr>
              <w:t>Not equals</w:t>
            </w:r>
          </w:p>
        </w:tc>
        <w:tc>
          <w:tcPr>
            <w:tcW w:type="dxa" w:w="2160"/>
          </w:tcPr>
          <w:p>
            <w:r/>
            <w:r>
              <w:rPr>
                <w:b w:val="0"/>
                <w:sz w:val="20"/>
              </w:rPr>
              <w:t>(leave the value blank)</w:t>
            </w:r>
          </w:p>
        </w:tc>
      </w:tr>
      <w:tr>
        <w:tc>
          <w:tcPr>
            <w:tcW w:type="dxa" w:w="1872"/>
          </w:tcPr>
          <w:p>
            <w:r/>
            <w:r>
              <w:rPr>
                <w:b/>
                <w:sz w:val="20"/>
              </w:rPr>
              <w:t>Network event</w:t>
            </w:r>
          </w:p>
        </w:tc>
        <w:tc>
          <w:tcPr>
            <w:tcW w:type="dxa" w:w="2304"/>
          </w:tcPr>
          <w:p>
            <w:r/>
            <w:r>
              <w:rPr>
                <w:b w:val="0"/>
                <w:sz w:val="20"/>
              </w:rPr>
              <w:t>ConnectionSuccess</w:t>
            </w:r>
          </w:p>
        </w:tc>
        <w:tc>
          <w:tcPr>
            <w:tcW w:type="dxa" w:w="2160"/>
          </w:tcPr>
          <w:p>
            <w:r/>
            <w:r>
              <w:rPr>
                <w:b w:val="0"/>
                <w:sz w:val="20"/>
              </w:rPr>
              <w:t>RemotePort</w:t>
            </w:r>
          </w:p>
        </w:tc>
        <w:tc>
          <w:tcPr>
            <w:tcW w:type="dxa" w:w="1584"/>
          </w:tcPr>
          <w:p>
            <w:r/>
            <w:r>
              <w:rPr>
                <w:b w:val="0"/>
                <w:sz w:val="20"/>
              </w:rPr>
              <w:t>Not equals</w:t>
            </w:r>
          </w:p>
        </w:tc>
        <w:tc>
          <w:tcPr>
            <w:tcW w:type="dxa" w:w="2160"/>
          </w:tcPr>
          <w:p>
            <w:r/>
            <w:r>
              <w:rPr>
                <w:b w:val="0"/>
                <w:sz w:val="20"/>
              </w:rPr>
              <w:t>0</w:t>
            </w:r>
          </w:p>
        </w:tc>
      </w:tr>
      <w:tr>
        <w:tc>
          <w:tcPr>
            <w:tcW w:type="dxa" w:w="1872"/>
          </w:tcPr>
          <w:p>
            <w:r/>
            <w:r>
              <w:rPr>
                <w:b/>
                <w:sz w:val="20"/>
              </w:rPr>
              <w:t>Registry (preview)</w:t>
            </w:r>
          </w:p>
        </w:tc>
        <w:tc>
          <w:tcPr>
            <w:tcW w:type="dxa" w:w="2304"/>
          </w:tcPr>
          <w:p>
            <w:r/>
            <w:r>
              <w:rPr>
                <w:b w:val="0"/>
                <w:sz w:val="20"/>
              </w:rPr>
              <w:t>RegistryValueSet</w:t>
            </w:r>
          </w:p>
        </w:tc>
        <w:tc>
          <w:tcPr>
            <w:tcW w:type="dxa" w:w="2160"/>
          </w:tcPr>
          <w:p>
            <w:r/>
            <w:r>
              <w:rPr>
                <w:b w:val="0"/>
                <w:sz w:val="20"/>
              </w:rPr>
              <w:t>RegistryKey</w:t>
            </w:r>
          </w:p>
        </w:tc>
        <w:tc>
          <w:tcPr>
            <w:tcW w:type="dxa" w:w="1584"/>
          </w:tcPr>
          <w:p>
            <w:r/>
            <w:r>
              <w:rPr>
                <w:b w:val="0"/>
                <w:sz w:val="20"/>
              </w:rPr>
              <w:t>Not equals</w:t>
            </w:r>
          </w:p>
        </w:tc>
        <w:tc>
          <w:tcPr>
            <w:tcW w:type="dxa" w:w="2160"/>
          </w:tcPr>
          <w:p>
            <w:r/>
            <w:r>
              <w:rPr>
                <w:b w:val="0"/>
                <w:sz w:val="20"/>
              </w:rPr>
              <w:t>(leave the value blank)</w:t>
            </w:r>
          </w:p>
        </w:tc>
      </w:tr>
      <w:tr>
        <w:tc>
          <w:tcPr>
            <w:tcW w:type="dxa" w:w="1872"/>
          </w:tcPr>
          <w:p>
            <w:r/>
            <w:r>
              <w:rPr>
                <w:b/>
                <w:sz w:val="20"/>
              </w:rPr>
              <w:t>Script</w:t>
            </w:r>
          </w:p>
        </w:tc>
        <w:tc>
          <w:tcPr>
            <w:tcW w:type="dxa" w:w="2304"/>
          </w:tcPr>
          <w:p>
            <w:r/>
            <w:r>
              <w:rPr>
                <w:b w:val="0"/>
                <w:sz w:val="20"/>
              </w:rPr>
              <w:t>AmsiScriptContent</w:t>
            </w:r>
          </w:p>
        </w:tc>
        <w:tc>
          <w:tcPr>
            <w:tcW w:type="dxa" w:w="2160"/>
          </w:tcPr>
          <w:p>
            <w:r/>
            <w:r>
              <w:rPr>
                <w:b w:val="0"/>
                <w:sz w:val="20"/>
              </w:rPr>
              <w:t>InitiatingProcessFileName</w:t>
            </w:r>
          </w:p>
        </w:tc>
        <w:tc>
          <w:tcPr>
            <w:tcW w:type="dxa" w:w="1584"/>
          </w:tcPr>
          <w:p>
            <w:r/>
            <w:r>
              <w:rPr>
                <w:b w:val="0"/>
                <w:sz w:val="20"/>
              </w:rPr>
              <w:t>Not equals</w:t>
            </w:r>
          </w:p>
        </w:tc>
        <w:tc>
          <w:tcPr>
            <w:tcW w:type="dxa" w:w="2160"/>
          </w:tcPr>
          <w:p>
            <w:r/>
            <w:r>
              <w:rPr>
                <w:b w:val="0"/>
                <w:sz w:val="20"/>
              </w:rPr>
              <w:t>(leave the value blank)</w:t>
            </w:r>
          </w:p>
        </w:tc>
      </w:tr>
    </w:tbl>
    <w:p/>
    <w:p>
      <w:r>
        <w:rPr>
          <w:b/>
          <w:color w:val="2563EB"/>
          <w:sz w:val="24"/>
        </w:rPr>
        <w:t>Per table notes</w:t>
      </w:r>
    </w:p>
    <w:p>
      <w:pPr>
        <w:pStyle w:val="ListBullet"/>
      </w:pPr>
      <w:r>
        <w:rPr>
          <w:b/>
          <w:sz w:val="20"/>
        </w:rPr>
        <w:t xml:space="preserve">Process: </w:t>
      </w:r>
      <w:r>
        <w:rPr>
          <w:color w:val="475569"/>
          <w:sz w:val="20"/>
        </w:rPr>
        <w:t>Matches every process start, since a command line is never truly empty.</w:t>
      </w:r>
    </w:p>
    <w:p>
      <w:pPr>
        <w:pStyle w:val="ListBullet"/>
      </w:pPr>
      <w:r>
        <w:rPr>
          <w:b/>
          <w:sz w:val="20"/>
        </w:rPr>
        <w:t xml:space="preserve">Image load: </w:t>
      </w:r>
      <w:r>
        <w:rPr>
          <w:color w:val="475569"/>
          <w:sz w:val="20"/>
        </w:rPr>
        <w:t>Matches every module load, this table is very high volume, watch the 75,000 event cap.</w:t>
      </w:r>
    </w:p>
    <w:p>
      <w:pPr>
        <w:pStyle w:val="ListBullet"/>
      </w:pPr>
      <w:r>
        <w:rPr>
          <w:b/>
          <w:sz w:val="20"/>
        </w:rPr>
        <w:t xml:space="preserve">File: </w:t>
      </w:r>
      <w:r>
        <w:rPr>
          <w:color w:val="475569"/>
          <w:sz w:val="20"/>
        </w:rPr>
        <w:t>Windows scope. Add a second rule with Operating system set to Linux (preview) if Linux coverage is also wanted.</w:t>
      </w:r>
    </w:p>
    <w:p>
      <w:pPr>
        <w:pStyle w:val="ListBullet"/>
      </w:pPr>
      <w:r>
        <w:rPr>
          <w:b/>
          <w:sz w:val="20"/>
        </w:rPr>
        <w:t xml:space="preserve">Network event: </w:t>
      </w:r>
      <w:r>
        <w:rPr>
          <w:color w:val="475569"/>
          <w:sz w:val="20"/>
        </w:rPr>
        <w:t>Matches every successful connection, a real port is never 0.</w:t>
      </w:r>
    </w:p>
    <w:p>
      <w:pPr>
        <w:pStyle w:val="ListBullet"/>
      </w:pPr>
      <w:r>
        <w:rPr>
          <w:b/>
          <w:sz w:val="20"/>
        </w:rPr>
        <w:t xml:space="preserve">Registry (preview): </w:t>
      </w:r>
      <w:r>
        <w:rPr>
          <w:color w:val="475569"/>
          <w:sz w:val="20"/>
        </w:rPr>
        <w:t>Matches every value write, a registry key path is never empty.</w:t>
      </w:r>
    </w:p>
    <w:p>
      <w:pPr>
        <w:pStyle w:val="ListBullet"/>
      </w:pPr>
      <w:r>
        <w:rPr>
          <w:b/>
          <w:sz w:val="20"/>
        </w:rPr>
        <w:t xml:space="preserve">Script: </w:t>
      </w:r>
      <w:r>
        <w:rPr>
          <w:color w:val="475569"/>
          <w:sz w:val="20"/>
        </w:rPr>
        <w:t>AMSI visible engines only, PowerShell and Windows Script Host.</w:t>
      </w:r>
    </w:p>
    <w:p/>
    <w:p>
      <w:r>
        <w:rPr>
          <w:b/>
          <w:color w:val="2563EB"/>
          <w:sz w:val="24"/>
        </w:rPr>
        <w:t>Prerequisites and limits</w:t>
      </w:r>
    </w:p>
    <w:p>
      <w:pPr>
        <w:pStyle w:val="ListBullet"/>
      </w:pPr>
      <w:r>
        <w:rPr>
          <w:sz w:val="20"/>
        </w:rPr>
        <w:t>MDE Plan 2 is required.</w:t>
      </w:r>
    </w:p>
    <w:p>
      <w:pPr>
        <w:pStyle w:val="ListBullet"/>
      </w:pPr>
      <w:r>
        <w:rPr>
          <w:sz w:val="20"/>
        </w:rPr>
        <w:t>A Sentinel workspace must already be connected to this tenant, one workspace per tenant, selected at rule creation.</w:t>
      </w:r>
    </w:p>
    <w:p>
      <w:pPr>
        <w:pStyle w:val="ListBullet"/>
      </w:pPr>
      <w:r>
        <w:rPr>
          <w:sz w:val="20"/>
        </w:rPr>
        <w:t>Telemetry starts flowing 20 minutes to 1 hour after a rule deploys.</w:t>
      </w:r>
    </w:p>
    <w:p>
      <w:pPr>
        <w:pStyle w:val="ListBullet"/>
      </w:pPr>
      <w:r>
        <w:rPr>
          <w:sz w:val="20"/>
        </w:rPr>
        <w:t>Scope each rule to All devices for the starter pass, or to a specific device group if the tenant restricts collection.</w:t>
      </w:r>
    </w:p>
    <w:p>
      <w:pPr>
        <w:pStyle w:val="ListBullet"/>
      </w:pPr>
      <w:r>
        <w:rPr>
          <w:sz w:val="20"/>
        </w:rPr>
        <w:t>Image load and Script are the highest volume tables, watch Log Analytics ingestion cost once this is live longer term.</w:t>
      </w:r>
    </w:p>
    <w:p>
      <w:pPr>
        <w:pStyle w:val="ListBullet"/>
      </w:pPr>
      <w:r>
        <w:rPr>
          <w:sz w:val="20"/>
        </w:rPr>
        <w:t>Registry and File also expose a Linux (preview) operating system option if Linux coverage is wanted, that is a separate rule per action type.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