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DA91" w14:textId="77777777" w:rsidR="00AD74D9" w:rsidRPr="00AD74D9" w:rsidRDefault="00AD74D9" w:rsidP="00AD74D9">
      <w:pPr>
        <w:rPr>
          <w:b/>
          <w:bCs/>
        </w:rPr>
      </w:pPr>
      <w:r w:rsidRPr="00AD74D9">
        <w:rPr>
          <w:b/>
          <w:bCs/>
        </w:rPr>
        <w:t>Best Practices for Medical Documentation in Reasonable Accommodation Requests</w:t>
      </w:r>
    </w:p>
    <w:p w14:paraId="22D5B103" w14:textId="77777777" w:rsidR="00AD74D9" w:rsidRPr="00AD74D9" w:rsidRDefault="00AD74D9" w:rsidP="00AD74D9">
      <w:r w:rsidRPr="00AD74D9">
        <w:t xml:space="preserve">Medical documentation is the single most important piece of evidence in your accommodation request. Weak or incomplete documentation is the most common reason </w:t>
      </w:r>
      <w:proofErr w:type="gramStart"/>
      <w:r w:rsidRPr="00AD74D9">
        <w:t>accommodations are</w:t>
      </w:r>
      <w:proofErr w:type="gramEnd"/>
      <w:r w:rsidRPr="00AD74D9">
        <w:t xml:space="preserve"> delayed or denied in favor of a lesser alternative. These practices are designed to produce documentation that fully supports your request the first time.</w:t>
      </w:r>
    </w:p>
    <w:p w14:paraId="7AF48CBE" w14:textId="77777777" w:rsidR="00AD74D9" w:rsidRPr="00AD74D9" w:rsidRDefault="00AD74D9" w:rsidP="00AD74D9">
      <w:r w:rsidRPr="00AD74D9">
        <w:pict w14:anchorId="3253B03D">
          <v:rect id="_x0000_i1025" style="width:0;height:1.5pt" o:hralign="center" o:hrstd="t" o:hr="t" fillcolor="#a0a0a0" stroked="f"/>
        </w:pict>
      </w:r>
    </w:p>
    <w:p w14:paraId="12C83EE6" w14:textId="77777777" w:rsidR="00AD74D9" w:rsidRPr="00AD74D9" w:rsidRDefault="00AD74D9" w:rsidP="00AD74D9">
      <w:pPr>
        <w:rPr>
          <w:b/>
          <w:bCs/>
        </w:rPr>
      </w:pPr>
      <w:r w:rsidRPr="00AD74D9">
        <w:rPr>
          <w:b/>
          <w:bCs/>
        </w:rPr>
        <w:t>1. Use Functional Language, Not Just a Diagnosis</w:t>
      </w:r>
    </w:p>
    <w:p w14:paraId="2721CA5C" w14:textId="77777777" w:rsidR="00AD74D9" w:rsidRPr="00AD74D9" w:rsidRDefault="00AD74D9" w:rsidP="00AD74D9">
      <w:r w:rsidRPr="00AD74D9">
        <w:t xml:space="preserve">A diagnosis alone doesn't establish what you need. HHS is legally required to focus on </w:t>
      </w:r>
      <w:r w:rsidRPr="00AD74D9">
        <w:rPr>
          <w:b/>
          <w:bCs/>
        </w:rPr>
        <w:t xml:space="preserve">what you cannot </w:t>
      </w:r>
      <w:proofErr w:type="gramStart"/>
      <w:r w:rsidRPr="00AD74D9">
        <w:rPr>
          <w:b/>
          <w:bCs/>
        </w:rPr>
        <w:t>do, or</w:t>
      </w:r>
      <w:proofErr w:type="gramEnd"/>
      <w:r w:rsidRPr="00AD74D9">
        <w:rPr>
          <w:b/>
          <w:bCs/>
        </w:rPr>
        <w:t xml:space="preserve"> have difficulty doing</w:t>
      </w:r>
      <w:r w:rsidRPr="00AD74D9">
        <w:t xml:space="preserve"> — not what condition causes it. Make sure documentation describes concrete functional effects (e.g., "unable to sustain attention for more than X minutes during an episode") rather than relying on a diagnosis to speak for itself. You are not required to disclose a diagnosis, and in most cases shouldn't unless it's clinically necessary to explain a specific limitation.</w:t>
      </w:r>
    </w:p>
    <w:p w14:paraId="565CE5DD" w14:textId="77777777" w:rsidR="00AD74D9" w:rsidRPr="00AD74D9" w:rsidRDefault="00AD74D9" w:rsidP="00AD74D9">
      <w:pPr>
        <w:rPr>
          <w:b/>
          <w:bCs/>
        </w:rPr>
      </w:pPr>
      <w:r w:rsidRPr="00AD74D9">
        <w:rPr>
          <w:b/>
          <w:bCs/>
        </w:rPr>
        <w:t>2. Address Every Limitation Specifically — Not in the Aggregate</w:t>
      </w:r>
    </w:p>
    <w:p w14:paraId="44EB4333" w14:textId="77777777" w:rsidR="00AD74D9" w:rsidRPr="00AD74D9" w:rsidRDefault="00AD74D9" w:rsidP="00AD74D9">
      <w:r w:rsidRPr="00AD74D9">
        <w:t>If more than one activity or job function is affected, each one needs its own specific explanation of the degree of limitation — how severe, how often, how long it lasts, and when function returns to baseline. A single general statement covering multiple limitations at once is weaker and easier for HHS to treat as vague or insufficient.</w:t>
      </w:r>
    </w:p>
    <w:p w14:paraId="107DD54B" w14:textId="77777777" w:rsidR="00AD74D9" w:rsidRPr="00AD74D9" w:rsidRDefault="00AD74D9" w:rsidP="00AD74D9">
      <w:pPr>
        <w:rPr>
          <w:b/>
          <w:bCs/>
        </w:rPr>
      </w:pPr>
      <w:r w:rsidRPr="00AD74D9">
        <w:rPr>
          <w:b/>
          <w:bCs/>
        </w:rPr>
        <w:t>3. Request a Specific Accommodation — Never a General One</w:t>
      </w:r>
    </w:p>
    <w:p w14:paraId="466C68F3" w14:textId="77777777" w:rsidR="00AD74D9" w:rsidRPr="00AD74D9" w:rsidRDefault="00AD74D9" w:rsidP="00AD74D9">
      <w:r w:rsidRPr="00AD74D9">
        <w:t>Ask for the exact accommodation you need (e.g., "full-time telework," not "flexibility" or "reduced demands"). General requests give the agency room to offer something inadequate and call it responsive. If you have a priority order among multiple accommodations, state that order explicitly.</w:t>
      </w:r>
    </w:p>
    <w:p w14:paraId="48030FCA" w14:textId="77777777" w:rsidR="00AD74D9" w:rsidRPr="00AD74D9" w:rsidRDefault="00AD74D9" w:rsidP="00AD74D9">
      <w:pPr>
        <w:rPr>
          <w:b/>
          <w:bCs/>
        </w:rPr>
      </w:pPr>
      <w:r w:rsidRPr="00AD74D9">
        <w:rPr>
          <w:b/>
          <w:bCs/>
        </w:rPr>
        <w:t>4. Address Alternatives Before the Agency Raises Them</w:t>
      </w:r>
    </w:p>
    <w:p w14:paraId="3881863C" w14:textId="77777777" w:rsidR="00AD74D9" w:rsidRPr="00AD74D9" w:rsidRDefault="00AD74D9" w:rsidP="00AD74D9">
      <w:r w:rsidRPr="00AD74D9">
        <w:t>If you can anticipate what the agency is likely to offer instead of your requested accommodation (a private office, a modified schedule, an ergonomic chair, etc.), address it directly in your documentation — explain specifically why it doesn't fully solve the problem — rather than leaving it unaddressed. Silence on alternatives is often read as a green light for the agency to offer them as "sufficient."</w:t>
      </w:r>
    </w:p>
    <w:p w14:paraId="5C077B12" w14:textId="77777777" w:rsidR="00AD74D9" w:rsidRPr="00AD74D9" w:rsidRDefault="00AD74D9" w:rsidP="00AD74D9">
      <w:pPr>
        <w:rPr>
          <w:b/>
          <w:bCs/>
        </w:rPr>
      </w:pPr>
      <w:r w:rsidRPr="00AD74D9">
        <w:rPr>
          <w:b/>
          <w:bCs/>
        </w:rPr>
        <w:t>5. Establish the Nexus for Each Accommodation Individually</w:t>
      </w:r>
    </w:p>
    <w:p w14:paraId="26094220" w14:textId="77777777" w:rsidR="00AD74D9" w:rsidRPr="00AD74D9" w:rsidRDefault="00AD74D9" w:rsidP="00AD74D9">
      <w:r w:rsidRPr="00AD74D9">
        <w:t xml:space="preserve">Documentation should </w:t>
      </w:r>
      <w:proofErr w:type="gramStart"/>
      <w:r w:rsidRPr="00AD74D9">
        <w:t>explain,</w:t>
      </w:r>
      <w:proofErr w:type="gramEnd"/>
      <w:r w:rsidRPr="00AD74D9">
        <w:t xml:space="preserve"> accommodation by accommodation, exactly how it addresses your specific limitations and enables you to do your job. Don't rely on one </w:t>
      </w:r>
      <w:r w:rsidRPr="00AD74D9">
        <w:lastRenderedPageBreak/>
        <w:t>general explanation to cover multiple requested accommodations — connect the dots for each one.</w:t>
      </w:r>
    </w:p>
    <w:p w14:paraId="4C3A7E45" w14:textId="77777777" w:rsidR="00AD74D9" w:rsidRPr="00AD74D9" w:rsidRDefault="00AD74D9" w:rsidP="00AD74D9">
      <w:pPr>
        <w:rPr>
          <w:b/>
          <w:bCs/>
        </w:rPr>
      </w:pPr>
      <w:r w:rsidRPr="00AD74D9">
        <w:rPr>
          <w:b/>
          <w:bCs/>
        </w:rPr>
        <w:t>6. Push for a Permanent Duration When Clinically Appropriate</w:t>
      </w:r>
    </w:p>
    <w:p w14:paraId="7B0B0331" w14:textId="77777777" w:rsidR="00AD74D9" w:rsidRPr="00AD74D9" w:rsidRDefault="00AD74D9" w:rsidP="00AD74D9">
      <w:r w:rsidRPr="00AD74D9">
        <w:t xml:space="preserve">If your condition is chronic and not expected to resolve, documentation should say so explicitly and recommend </w:t>
      </w:r>
      <w:proofErr w:type="gramStart"/>
      <w:r w:rsidRPr="00AD74D9">
        <w:t>a permanent</w:t>
      </w:r>
      <w:proofErr w:type="gramEnd"/>
      <w:r w:rsidRPr="00AD74D9">
        <w:t>, indefinite accommodation. Time-limited recommendations create a built-in expiration date the agency can later use against you, even if your condition hasn't changed.</w:t>
      </w:r>
    </w:p>
    <w:p w14:paraId="70865EBE" w14:textId="77777777" w:rsidR="00AD74D9" w:rsidRPr="00AD74D9" w:rsidRDefault="00AD74D9" w:rsidP="00AD74D9">
      <w:pPr>
        <w:rPr>
          <w:b/>
          <w:bCs/>
        </w:rPr>
      </w:pPr>
      <w:r w:rsidRPr="00AD74D9">
        <w:rPr>
          <w:b/>
          <w:bCs/>
        </w:rPr>
        <w:t>7. Describe Consequences of Denial Concretely</w:t>
      </w:r>
    </w:p>
    <w:p w14:paraId="6DED873F" w14:textId="77777777" w:rsidR="00AD74D9" w:rsidRPr="00AD74D9" w:rsidRDefault="00AD74D9" w:rsidP="00AD74D9">
      <w:r w:rsidRPr="00AD74D9">
        <w:t>Documentation should describe, in concrete functional terms, what happens if the accommodation isn't provided — continued symptom impact, safety risk, or effect on job performance. Avoid vague or speculative language; ground this in your actual documented experience.</w:t>
      </w:r>
    </w:p>
    <w:p w14:paraId="4C6A6F33" w14:textId="77777777" w:rsidR="00AD74D9" w:rsidRPr="00AD74D9" w:rsidRDefault="00AD74D9" w:rsidP="00AD74D9">
      <w:pPr>
        <w:rPr>
          <w:b/>
          <w:bCs/>
        </w:rPr>
      </w:pPr>
      <w:r w:rsidRPr="00AD74D9">
        <w:rPr>
          <w:b/>
          <w:bCs/>
        </w:rPr>
        <w:t>8. Reference Prior Accommodations and Their Outcomes</w:t>
      </w:r>
    </w:p>
    <w:p w14:paraId="2A38E659" w14:textId="77777777" w:rsidR="00AD74D9" w:rsidRPr="00AD74D9" w:rsidRDefault="00AD74D9" w:rsidP="00AD74D9">
      <w:r w:rsidRPr="00AD74D9">
        <w:t xml:space="preserve">If you've successfully used a similar accommodation before (formally or informally) with no performance issues, say so explicitly and note whether your job duties have changed since then. This is strong evidence that </w:t>
      </w:r>
      <w:proofErr w:type="gramStart"/>
      <w:r w:rsidRPr="00AD74D9">
        <w:t>the accommodation</w:t>
      </w:r>
      <w:proofErr w:type="gramEnd"/>
      <w:r w:rsidRPr="00AD74D9">
        <w:t xml:space="preserve"> does not create </w:t>
      </w:r>
      <w:proofErr w:type="gramStart"/>
      <w:r w:rsidRPr="00AD74D9">
        <w:t>an undue</w:t>
      </w:r>
      <w:proofErr w:type="gramEnd"/>
      <w:r w:rsidRPr="00AD74D9">
        <w:t xml:space="preserve"> hardship.</w:t>
      </w:r>
    </w:p>
    <w:p w14:paraId="63E9B09B" w14:textId="77777777" w:rsidR="00AD74D9" w:rsidRPr="00AD74D9" w:rsidRDefault="00AD74D9" w:rsidP="00AD74D9">
      <w:pPr>
        <w:rPr>
          <w:b/>
          <w:bCs/>
        </w:rPr>
      </w:pPr>
      <w:r w:rsidRPr="00AD74D9">
        <w:rPr>
          <w:b/>
          <w:bCs/>
        </w:rPr>
        <w:t xml:space="preserve">9. Come to Your Provider </w:t>
      </w:r>
      <w:proofErr w:type="gramStart"/>
      <w:r w:rsidRPr="00AD74D9">
        <w:rPr>
          <w:b/>
          <w:bCs/>
        </w:rPr>
        <w:t>With</w:t>
      </w:r>
      <w:proofErr w:type="gramEnd"/>
      <w:r w:rsidRPr="00AD74D9">
        <w:rPr>
          <w:b/>
          <w:bCs/>
        </w:rPr>
        <w:t xml:space="preserve"> a Complete Draft, </w:t>
      </w:r>
      <w:proofErr w:type="gramStart"/>
      <w:r w:rsidRPr="00AD74D9">
        <w:rPr>
          <w:b/>
          <w:bCs/>
        </w:rPr>
        <w:t>Not</w:t>
      </w:r>
      <w:proofErr w:type="gramEnd"/>
      <w:r w:rsidRPr="00AD74D9">
        <w:rPr>
          <w:b/>
          <w:bCs/>
        </w:rPr>
        <w:t xml:space="preserve"> a Blank Page</w:t>
      </w:r>
    </w:p>
    <w:p w14:paraId="17292711" w14:textId="77777777" w:rsidR="00AD74D9" w:rsidRPr="00AD74D9" w:rsidRDefault="00AD74D9" w:rsidP="00AD74D9">
      <w:r w:rsidRPr="00AD74D9">
        <w:t>Provider time is limited, and providers are not expected to independently know the legal standards for what makes accommodation documentation effective. Rather than asking your provider to write a letter from scratch, come prepared with a full draft built from what you've already described — your provider's role should be to review, confirm, and revise based on their clinical judgment, not to originate the narrative themselves. A provider is far more likely to engage fully with a complete, accurate draft than with an open-ended writing assignment.</w:t>
      </w:r>
    </w:p>
    <w:p w14:paraId="20CC7B37" w14:textId="77777777" w:rsidR="00AD74D9" w:rsidRPr="00AD74D9" w:rsidRDefault="00AD74D9" w:rsidP="00AD74D9">
      <w:pPr>
        <w:rPr>
          <w:b/>
          <w:bCs/>
        </w:rPr>
      </w:pPr>
      <w:r w:rsidRPr="00AD74D9">
        <w:rPr>
          <w:b/>
          <w:bCs/>
        </w:rPr>
        <w:t>10. Frame Barriers as Workplace Issues, Not Commute Issues</w:t>
      </w:r>
    </w:p>
    <w:p w14:paraId="5F9F9DC2" w14:textId="77777777" w:rsidR="00AD74D9" w:rsidRPr="00AD74D9" w:rsidRDefault="00AD74D9" w:rsidP="00AD74D9">
      <w:r w:rsidRPr="00AD74D9">
        <w:t>If part of your difficulty relates to getting to and from the office, describe what that demand does to you functionally (e.g., fatigue, symptom exacerbation, safety risk) rather than describing it as a commuting problem. Agencies sometimes argue they aren't required to accommodate a commute — framing the office itself, not the trip there, as the barrier avoids that argument entirely.</w:t>
      </w:r>
    </w:p>
    <w:p w14:paraId="0973FED6" w14:textId="77777777" w:rsidR="00AD74D9" w:rsidRPr="00AD74D9" w:rsidRDefault="00AD74D9" w:rsidP="00AD74D9">
      <w:r w:rsidRPr="00AD74D9">
        <w:pict w14:anchorId="4F9CF3B1">
          <v:rect id="_x0000_i1026" style="width:0;height:1.5pt" o:hralign="center" o:hrstd="t" o:hr="t" fillcolor="#a0a0a0" stroked="f"/>
        </w:pict>
      </w:r>
    </w:p>
    <w:p w14:paraId="420405AC" w14:textId="77777777" w:rsidR="00AD74D9" w:rsidRPr="00AD74D9" w:rsidRDefault="00AD74D9" w:rsidP="00AD74D9">
      <w:r w:rsidRPr="00AD74D9">
        <w:rPr>
          <w:b/>
          <w:bCs/>
        </w:rPr>
        <w:lastRenderedPageBreak/>
        <w:t>Before submitting anything:</w:t>
      </w:r>
      <w:r w:rsidRPr="00AD74D9">
        <w:t xml:space="preserve"> review documentation against the actual items requested in HHS's medical documentation </w:t>
      </w:r>
      <w:proofErr w:type="gramStart"/>
      <w:r w:rsidRPr="00AD74D9">
        <w:t>form, and</w:t>
      </w:r>
      <w:proofErr w:type="gramEnd"/>
      <w:r w:rsidRPr="00AD74D9">
        <w:t xml:space="preserve"> make sure every item is answered fully and specifically. Official forms describe the minimum HHS says it needs — thorough documentation should meet that minimum and go beyond it </w:t>
      </w:r>
      <w:proofErr w:type="gramStart"/>
      <w:r w:rsidRPr="00AD74D9">
        <w:t>where</w:t>
      </w:r>
      <w:proofErr w:type="gramEnd"/>
      <w:r w:rsidRPr="00AD74D9">
        <w:t xml:space="preserve"> doing so strengthens your case.</w:t>
      </w:r>
    </w:p>
    <w:p w14:paraId="2F5A7E96" w14:textId="77777777" w:rsidR="00AD74D9" w:rsidRPr="00AD74D9" w:rsidRDefault="00AD74D9" w:rsidP="00AD74D9">
      <w:r w:rsidRPr="00AD74D9">
        <w:pict w14:anchorId="533DBDD8">
          <v:rect id="_x0000_i1027" style="width:0;height:1.5pt" o:hralign="center" o:hrstd="t" o:hr="t" fillcolor="#a0a0a0" stroked="f"/>
        </w:pict>
      </w:r>
    </w:p>
    <w:p w14:paraId="3DB717EF" w14:textId="77777777" w:rsidR="00AD74D9" w:rsidRPr="00AD74D9" w:rsidRDefault="00AD74D9" w:rsidP="00AD74D9">
      <w:pPr>
        <w:rPr>
          <w:b/>
          <w:bCs/>
        </w:rPr>
      </w:pPr>
      <w:r w:rsidRPr="00AD74D9">
        <w:rPr>
          <w:b/>
          <w:bCs/>
        </w:rPr>
        <w:t>Example Letter (Illustrative Only)</w:t>
      </w:r>
    </w:p>
    <w:p w14:paraId="341E04B1" w14:textId="77777777" w:rsidR="00AD74D9" w:rsidRPr="00AD74D9" w:rsidRDefault="00AD74D9" w:rsidP="00AD74D9">
      <w:r w:rsidRPr="00AD74D9">
        <w:rPr>
          <w:i/>
          <w:iCs/>
        </w:rPr>
        <w:t>This is a fictitious example for illustration purposes only. It does not represent any real employee, provider, or case, and should not be used as a submission template — see the Provider Letter Template document for that. Note: Practice #9 (coming to your provider with a complete draft) is about the drafting process, not something a finished letter can show directly — this example illustrates the other nine practices in the content below.</w:t>
      </w:r>
    </w:p>
    <w:p w14:paraId="7EA6BE1B" w14:textId="77777777" w:rsidR="00AD74D9" w:rsidRPr="00AD74D9" w:rsidRDefault="00AD74D9" w:rsidP="00AD74D9">
      <w:r w:rsidRPr="00AD74D9">
        <w:t>Dr. Doctor McDoctorson, MD, Rheumatology</w:t>
      </w:r>
      <w:r w:rsidRPr="00AD74D9">
        <w:br/>
        <w:t>Riverside Rheumatology Associates</w:t>
      </w:r>
      <w:r w:rsidRPr="00AD74D9">
        <w:br/>
        <w:t>412 Oak Terrace, Suite 200</w:t>
      </w:r>
      <w:r w:rsidRPr="00AD74D9">
        <w:br/>
        <w:t>(555) 019-4432</w:t>
      </w:r>
      <w:r w:rsidRPr="00AD74D9">
        <w:br/>
        <w:t>March 3, 2026</w:t>
      </w:r>
    </w:p>
    <w:p w14:paraId="5DD820C5" w14:textId="77777777" w:rsidR="00AD74D9" w:rsidRPr="00AD74D9" w:rsidRDefault="00AD74D9" w:rsidP="00AD74D9">
      <w:r w:rsidRPr="00AD74D9">
        <w:t>HHS Reasonable Accommodation Program Office Attn: Reasonable Accommodation Coordinator</w:t>
      </w:r>
    </w:p>
    <w:p w14:paraId="476E1549" w14:textId="77777777" w:rsidR="00AD74D9" w:rsidRPr="00AD74D9" w:rsidRDefault="00AD74D9" w:rsidP="00AD74D9">
      <w:r w:rsidRPr="00AD74D9">
        <w:rPr>
          <w:b/>
          <w:bCs/>
        </w:rPr>
        <w:t xml:space="preserve">Re: Reasonable Accommodation Medical </w:t>
      </w:r>
      <w:proofErr w:type="gramStart"/>
      <w:r w:rsidRPr="00AD74D9">
        <w:rPr>
          <w:b/>
          <w:bCs/>
        </w:rPr>
        <w:t>Documentation — [</w:t>
      </w:r>
      <w:proofErr w:type="gramEnd"/>
      <w:r w:rsidRPr="00AD74D9">
        <w:rPr>
          <w:b/>
          <w:bCs/>
        </w:rPr>
        <w:t>EMPLOYEE]</w:t>
      </w:r>
      <w:r w:rsidRPr="00AD74D9">
        <w:t xml:space="preserve"> </w:t>
      </w:r>
      <w:r w:rsidRPr="00AD74D9">
        <w:rPr>
          <w:b/>
          <w:bCs/>
        </w:rPr>
        <w:t>Position:</w:t>
      </w:r>
      <w:r w:rsidRPr="00AD74D9">
        <w:t xml:space="preserve"> Program Analyst, GS-12</w:t>
      </w:r>
    </w:p>
    <w:p w14:paraId="653364B0" w14:textId="77777777" w:rsidR="00AD74D9" w:rsidRPr="00AD74D9" w:rsidRDefault="00AD74D9" w:rsidP="00AD74D9">
      <w:r w:rsidRPr="00AD74D9">
        <w:t>Dear Reasonable Accommodation Coordinator,</w:t>
      </w:r>
    </w:p>
    <w:p w14:paraId="7FAAA59A" w14:textId="77777777" w:rsidR="00AD74D9" w:rsidRPr="00AD74D9" w:rsidRDefault="00AD74D9" w:rsidP="00AD74D9">
      <w:r w:rsidRPr="00AD74D9">
        <w:t>I am writing in support of a reasonable accommodation request for my patient, [EMPLOYEE], whom I have treated since 2022. This letter addresses each item requested in the Department's medical documentation request.</w:t>
      </w:r>
    </w:p>
    <w:p w14:paraId="509FF3D7" w14:textId="77777777" w:rsidR="00AD74D9" w:rsidRPr="00AD74D9" w:rsidRDefault="00AD74D9" w:rsidP="00AD74D9">
      <w:r w:rsidRPr="00AD74D9">
        <w:rPr>
          <w:b/>
          <w:bCs/>
        </w:rPr>
        <w:t>Nature, Severity, and Duration:</w:t>
      </w:r>
      <w:r w:rsidRPr="00AD74D9">
        <w:t xml:space="preserve"> [EMPLOYEE] has a chronic autoimmune joint condition causing recurring inflammatory flares affecting the hands, wrists, and knees. Flares occur two to four times per month, typically lasting one to three days, and are not reliably predictable in advance. This condition is chronic and permanent, with no anticipated resolution. </w:t>
      </w:r>
      <w:proofErr w:type="gramStart"/>
      <w:r w:rsidRPr="00AD74D9">
        <w:t>A permanent</w:t>
      </w:r>
      <w:proofErr w:type="gramEnd"/>
      <w:r w:rsidRPr="00AD74D9">
        <w:t xml:space="preserve"> and indefinite accommodation is clinically appropriate.</w:t>
      </w:r>
    </w:p>
    <w:p w14:paraId="235A525A" w14:textId="77777777" w:rsidR="00AD74D9" w:rsidRPr="00AD74D9" w:rsidRDefault="00AD74D9" w:rsidP="00AD74D9">
      <w:r w:rsidRPr="00AD74D9">
        <w:rPr>
          <w:b/>
          <w:bCs/>
        </w:rPr>
        <w:t>Activities Limited and Extent of Limitation:</w:t>
      </w:r>
    </w:p>
    <w:p w14:paraId="5B1618F7" w14:textId="77777777" w:rsidR="00AD74D9" w:rsidRPr="00AD74D9" w:rsidRDefault="00AD74D9" w:rsidP="00AD74D9">
      <w:pPr>
        <w:numPr>
          <w:ilvl w:val="0"/>
          <w:numId w:val="1"/>
        </w:numPr>
      </w:pPr>
      <w:r w:rsidRPr="00AD74D9">
        <w:rPr>
          <w:i/>
          <w:iCs/>
        </w:rPr>
        <w:lastRenderedPageBreak/>
        <w:t>Typing and fine motor tasks:</w:t>
      </w:r>
      <w:r w:rsidRPr="00AD74D9">
        <w:t xml:space="preserve"> During a flare, joint swelling and pain in the hands reduce typing speed and endurance by more than half and cause pain that intensifies with continued use over the course of a workday.</w:t>
      </w:r>
    </w:p>
    <w:p w14:paraId="79C8A680" w14:textId="77777777" w:rsidR="00AD74D9" w:rsidRPr="00AD74D9" w:rsidRDefault="00AD74D9" w:rsidP="00AD74D9">
      <w:pPr>
        <w:numPr>
          <w:ilvl w:val="0"/>
          <w:numId w:val="1"/>
        </w:numPr>
      </w:pPr>
      <w:r w:rsidRPr="00AD74D9">
        <w:rPr>
          <w:i/>
          <w:iCs/>
        </w:rPr>
        <w:t>Sitting for extended periods:</w:t>
      </w:r>
      <w:r w:rsidRPr="00AD74D9">
        <w:t xml:space="preserve"> Joint stiffness after 45–60 minutes of continuous sitting requires position changes and brief rest breaks not compatible with fixed conference-room seating.</w:t>
      </w:r>
    </w:p>
    <w:p w14:paraId="21A8767C" w14:textId="77777777" w:rsidR="00AD74D9" w:rsidRPr="00AD74D9" w:rsidRDefault="00AD74D9" w:rsidP="00AD74D9">
      <w:pPr>
        <w:numPr>
          <w:ilvl w:val="0"/>
          <w:numId w:val="1"/>
        </w:numPr>
      </w:pPr>
      <w:r w:rsidRPr="00AD74D9">
        <w:rPr>
          <w:i/>
          <w:iCs/>
        </w:rPr>
        <w:t>Tolerating morning commute demands:</w:t>
      </w:r>
      <w:r w:rsidRPr="00AD74D9">
        <w:t xml:space="preserve"> Morning stiffness is most severe in the first 1–2 hours after waking; a fixed commute-and-arrival schedule requires her to perform fine motor tasks (driving, badge access, keyboard use) during the window when her symptoms are most limiting, before medication has taken effect.</w:t>
      </w:r>
    </w:p>
    <w:p w14:paraId="56D641CC" w14:textId="77777777" w:rsidR="00AD74D9" w:rsidRPr="00AD74D9" w:rsidRDefault="00AD74D9" w:rsidP="00AD74D9">
      <w:r w:rsidRPr="00AD74D9">
        <w:rPr>
          <w:b/>
          <w:bCs/>
        </w:rPr>
        <w:t>Accommodation Requested:</w:t>
      </w:r>
      <w:r w:rsidRPr="00AD74D9">
        <w:t xml:space="preserve"> [EMPLOYEE] is requesting full-time </w:t>
      </w:r>
      <w:proofErr w:type="gramStart"/>
      <w:r w:rsidRPr="00AD74D9">
        <w:t>telework</w:t>
      </w:r>
      <w:proofErr w:type="gramEnd"/>
      <w:r w:rsidRPr="00AD74D9">
        <w:t xml:space="preserve"> as her reasonable accommodation. Telework allows her to begin work later in the morning once stiffness has eased, take </w:t>
      </w:r>
      <w:proofErr w:type="gramStart"/>
      <w:r w:rsidRPr="00AD74D9">
        <w:t>brief rest</w:t>
      </w:r>
      <w:proofErr w:type="gramEnd"/>
      <w:r w:rsidRPr="00AD74D9">
        <w:t xml:space="preserve"> breaks and adjust her seated position as needed without disrupting a shared office environment, and avoid performing fine motor tasks during her most symptomatic hours. This addresses the underlying barrier — the fixed demands of the office environment and schedule — rather than her means of travel to it.</w:t>
      </w:r>
    </w:p>
    <w:p w14:paraId="74A70546" w14:textId="77777777" w:rsidR="00AD74D9" w:rsidRPr="00AD74D9" w:rsidRDefault="00AD74D9" w:rsidP="00AD74D9">
      <w:r w:rsidRPr="00AD74D9">
        <w:rPr>
          <w:b/>
          <w:bCs/>
        </w:rPr>
        <w:t>Alternative Accommodations:</w:t>
      </w:r>
      <w:r w:rsidRPr="00AD74D9">
        <w:t xml:space="preserve"> [EMPLOYEE] previously used an ergonomic keyboard and adjustable chair at her workstation. While helpful for general comfort, this measure does not address flare-related loss of fine motor function, nor does it address the morning stiffness window, since it does not change when or how she must report to a fixed location. A modified start time alone would partially help with morning stiffness but would not address flare days, when sustained onsite attendance itself is not tolerable regardless of start time. These measures, individually and together, are less effective than full-time </w:t>
      </w:r>
      <w:proofErr w:type="gramStart"/>
      <w:r w:rsidRPr="00AD74D9">
        <w:t>telework</w:t>
      </w:r>
      <w:proofErr w:type="gramEnd"/>
      <w:r w:rsidRPr="00AD74D9">
        <w:t xml:space="preserve"> in addressing the combination of unpredictable flare timing and morning symptom severity described above.</w:t>
      </w:r>
    </w:p>
    <w:p w14:paraId="46824A49" w14:textId="77777777" w:rsidR="00AD74D9" w:rsidRPr="00AD74D9" w:rsidRDefault="00AD74D9" w:rsidP="00AD74D9">
      <w:r w:rsidRPr="00AD74D9">
        <w:rPr>
          <w:b/>
          <w:bCs/>
        </w:rPr>
        <w:t>Nexus:</w:t>
      </w:r>
      <w:r w:rsidRPr="00AD74D9">
        <w:t xml:space="preserve"> [EMPLOYEE]'s essential functions — data analysis, report writing, and virtual stakeholder meetings — do not require onsite presence. Full-time telework allows her to adjust her schedule and physical position around flare activity and morning stiffness without impacting her ability to complete this work, which a fixed onsite schedule does not allow.</w:t>
      </w:r>
    </w:p>
    <w:p w14:paraId="0F68B61A" w14:textId="77777777" w:rsidR="00AD74D9" w:rsidRPr="00AD74D9" w:rsidRDefault="00AD74D9" w:rsidP="00AD74D9">
      <w:r w:rsidRPr="00AD74D9">
        <w:rPr>
          <w:b/>
          <w:bCs/>
        </w:rPr>
        <w:t>Consequences if Not Provided:</w:t>
      </w:r>
      <w:r w:rsidRPr="00AD74D9">
        <w:t xml:space="preserve"> Without this accommodation, I would expect continued use of sick leave during flares that could otherwise be managed through schedule flexibility, along with reduced productivity on days worked onsite during flare or high-stiffness periods, consistent with her documented history over the past two years.</w:t>
      </w:r>
    </w:p>
    <w:p w14:paraId="3F1EC648" w14:textId="77777777" w:rsidR="00AD74D9" w:rsidRPr="00AD74D9" w:rsidRDefault="00AD74D9" w:rsidP="00AD74D9">
      <w:r w:rsidRPr="00AD74D9">
        <w:t>I am available to provide additional information as needed.</w:t>
      </w:r>
    </w:p>
    <w:p w14:paraId="1AA992E6" w14:textId="77777777" w:rsidR="00AD74D9" w:rsidRPr="00AD74D9" w:rsidRDefault="00AD74D9" w:rsidP="00AD74D9">
      <w:r w:rsidRPr="00AD74D9">
        <w:lastRenderedPageBreak/>
        <w:t>Sincerely,</w:t>
      </w:r>
    </w:p>
    <w:p w14:paraId="767533C1" w14:textId="77777777" w:rsidR="00AD74D9" w:rsidRPr="00AD74D9" w:rsidRDefault="00AD74D9" w:rsidP="00AD74D9">
      <w:r w:rsidRPr="00AD74D9">
        <w:t> </w:t>
      </w:r>
      <w:r w:rsidRPr="00AD74D9">
        <w:br/>
        <w:t>Doctor McDoctorson, MD</w:t>
      </w:r>
      <w:r w:rsidRPr="00AD74D9">
        <w:br/>
        <w:t>Riverside Rheumatology Associates</w:t>
      </w:r>
      <w:r w:rsidRPr="00AD74D9">
        <w:br/>
        <w:t>(555) 019-4432</w:t>
      </w:r>
      <w:r w:rsidRPr="00AD74D9">
        <w:br/>
        <w:t>March 3, 2026</w:t>
      </w:r>
    </w:p>
    <w:p w14:paraId="2FC33A19" w14:textId="77777777" w:rsidR="00A17333" w:rsidRDefault="00A17333"/>
    <w:sectPr w:rsidR="00A17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D2A38"/>
    <w:multiLevelType w:val="multilevel"/>
    <w:tmpl w:val="DD56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17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D9"/>
    <w:rsid w:val="00A17333"/>
    <w:rsid w:val="00AD74D9"/>
    <w:rsid w:val="00C57690"/>
    <w:rsid w:val="00D30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2664"/>
  <w15:chartTrackingRefBased/>
  <w15:docId w15:val="{4C7A0086-9A5C-4200-8F66-3F068EB2D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4D9"/>
    <w:rPr>
      <w:rFonts w:eastAsiaTheme="majorEastAsia" w:cstheme="majorBidi"/>
      <w:color w:val="272727" w:themeColor="text1" w:themeTint="D8"/>
    </w:rPr>
  </w:style>
  <w:style w:type="paragraph" w:styleId="Title">
    <w:name w:val="Title"/>
    <w:basedOn w:val="Normal"/>
    <w:next w:val="Normal"/>
    <w:link w:val="TitleChar"/>
    <w:uiPriority w:val="10"/>
    <w:qFormat/>
    <w:rsid w:val="00AD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4D9"/>
    <w:pPr>
      <w:spacing w:before="160"/>
      <w:jc w:val="center"/>
    </w:pPr>
    <w:rPr>
      <w:i/>
      <w:iCs/>
      <w:color w:val="404040" w:themeColor="text1" w:themeTint="BF"/>
    </w:rPr>
  </w:style>
  <w:style w:type="character" w:customStyle="1" w:styleId="QuoteChar">
    <w:name w:val="Quote Char"/>
    <w:basedOn w:val="DefaultParagraphFont"/>
    <w:link w:val="Quote"/>
    <w:uiPriority w:val="29"/>
    <w:rsid w:val="00AD74D9"/>
    <w:rPr>
      <w:i/>
      <w:iCs/>
      <w:color w:val="404040" w:themeColor="text1" w:themeTint="BF"/>
    </w:rPr>
  </w:style>
  <w:style w:type="paragraph" w:styleId="ListParagraph">
    <w:name w:val="List Paragraph"/>
    <w:basedOn w:val="Normal"/>
    <w:uiPriority w:val="34"/>
    <w:qFormat/>
    <w:rsid w:val="00AD74D9"/>
    <w:pPr>
      <w:ind w:left="720"/>
      <w:contextualSpacing/>
    </w:pPr>
  </w:style>
  <w:style w:type="character" w:styleId="IntenseEmphasis">
    <w:name w:val="Intense Emphasis"/>
    <w:basedOn w:val="DefaultParagraphFont"/>
    <w:uiPriority w:val="21"/>
    <w:qFormat/>
    <w:rsid w:val="00AD74D9"/>
    <w:rPr>
      <w:i/>
      <w:iCs/>
      <w:color w:val="0F4761" w:themeColor="accent1" w:themeShade="BF"/>
    </w:rPr>
  </w:style>
  <w:style w:type="paragraph" w:styleId="IntenseQuote">
    <w:name w:val="Intense Quote"/>
    <w:basedOn w:val="Normal"/>
    <w:next w:val="Normal"/>
    <w:link w:val="IntenseQuoteChar"/>
    <w:uiPriority w:val="30"/>
    <w:qFormat/>
    <w:rsid w:val="00AD7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4D9"/>
    <w:rPr>
      <w:i/>
      <w:iCs/>
      <w:color w:val="0F4761" w:themeColor="accent1" w:themeShade="BF"/>
    </w:rPr>
  </w:style>
  <w:style w:type="character" w:styleId="IntenseReference">
    <w:name w:val="Intense Reference"/>
    <w:basedOn w:val="DefaultParagraphFont"/>
    <w:uiPriority w:val="32"/>
    <w:qFormat/>
    <w:rsid w:val="00AD7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1363</Words>
  <Characters>7840</Characters>
  <Application>Microsoft Office Word</Application>
  <DocSecurity>0</DocSecurity>
  <Lines>135</Lines>
  <Paragraphs>42</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2026-10-01T13:38:00Z</dcterms:created>
  <dcterms:modified xsi:type="dcterms:W3CDTF">2026-10-01T13:40:00Z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2026-10-01T13:39:18Z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bb7e3f6e-3103-4223-94cc-2f592bdfad31</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