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p>
            <w:pPr>
              <w:jc w:val="center"/>
            </w:pPr>
          </w:p>
          <w:p>
            <w:pPr>
              <w:jc w:val="both"/>
            </w:pPr>
            <w:r>
              <w:rPr>
                <w:rFonts w:ascii="Times New Roman" w:hAnsi="Times New Roman"/>
                <w:b w:val="0"/>
                <w:i w:val="0"/>
                <w:sz w:val="28"/>
                <w:u w:val="none"/>
              </w:rPr>
              <w:t>16th May, 2025</w:t>
            </w:r>
          </w:p>
        </w:tc>
      </w:tr>
      <w:tr>
        <w:tc>
          <w:tcPr>
            <w:tcW w:type="dxa" w:w="3888"/>
            <w:vAlign w:val="center"/>
          </w:tcPr>
          <w:p>
            <w:pPr>
              <w:jc w:val="center"/>
            </w:pPr>
            <w:r>
              <w:rPr>
                <w:rFonts w:ascii="Times New Roman" w:hAnsi="Times New Roman" w:eastAsia="Times New Roman"/>
                <w:b/>
                <w:sz w:val="32"/>
              </w:rPr>
              <w:t>DAYS</w:t>
            </w:r>
          </w:p>
        </w:tc>
        <w:tc>
          <w:tcPr>
            <w:tcW w:type="dxa" w:w="9072"/>
          </w:tcPr>
          <w:p/>
          <w:p>
            <w:pPr>
              <w:jc w:val="center"/>
            </w:pPr>
          </w:p>
          <w:p>
            <w:pPr>
              <w:jc w:val="both"/>
            </w:pPr>
            <w:r>
              <w:rPr>
                <w:rFonts w:ascii="Times New Roman" w:hAnsi="Times New Roman"/>
                <w:b w:val="0"/>
                <w:i w:val="0"/>
                <w:sz w:val="28"/>
                <w:u w:val="none"/>
              </w:rPr>
              <w:t>Monday - Friday</w:t>
            </w:r>
          </w:p>
        </w:tc>
      </w:tr>
      <w:tr>
        <w:tc>
          <w:tcPr>
            <w:tcW w:type="dxa" w:w="3888"/>
            <w:vAlign w:val="center"/>
          </w:tcPr>
          <w:p>
            <w:pPr>
              <w:jc w:val="center"/>
            </w:pPr>
            <w:r>
              <w:rPr>
                <w:rFonts w:ascii="Times New Roman" w:hAnsi="Times New Roman" w:eastAsia="Times New Roman"/>
                <w:b/>
                <w:sz w:val="32"/>
              </w:rPr>
              <w:t>DURATION</w:t>
            </w:r>
          </w:p>
        </w:tc>
        <w:tc>
          <w:tcPr>
            <w:tcW w:type="dxa" w:w="9072"/>
          </w:tcPr>
          <w:p/>
          <w:p>
            <w:pPr>
              <w:jc w:val="center"/>
            </w:pPr>
          </w:p>
          <w:p>
            <w:pPr>
              <w:jc w:val="both"/>
            </w:pPr>
            <w:r>
              <w:rPr>
                <w:rFonts w:ascii="Times New Roman" w:hAnsi="Times New Roman"/>
                <w:b w:val="0"/>
                <w:i w:val="0"/>
                <w:sz w:val="28"/>
                <w:u w:val="none"/>
              </w:rPr>
              <w:t>4 periods per class</w:t>
            </w:r>
          </w:p>
        </w:tc>
      </w:tr>
      <w:tr>
        <w:tc>
          <w:tcPr>
            <w:tcW w:type="dxa" w:w="3888"/>
            <w:vAlign w:val="center"/>
          </w:tcPr>
          <w:p>
            <w:pPr>
              <w:jc w:val="center"/>
            </w:pPr>
            <w:r>
              <w:rPr>
                <w:rFonts w:ascii="Times New Roman" w:hAnsi="Times New Roman" w:eastAsia="Times New Roman"/>
                <w:b/>
                <w:sz w:val="32"/>
              </w:rPr>
              <w:t>SUBJECT</w:t>
            </w:r>
          </w:p>
        </w:tc>
        <w:tc>
          <w:tcPr>
            <w:tcW w:type="dxa" w:w="9072"/>
          </w:tcPr>
          <w:p/>
          <w:p>
            <w:pPr>
              <w:jc w:val="center"/>
            </w:pPr>
          </w:p>
          <w:p>
            <w:pPr>
              <w:jc w:val="both"/>
            </w:pPr>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p>
            <w:pPr>
              <w:jc w:val="center"/>
            </w:pPr>
          </w:p>
          <w:p>
            <w:pPr>
              <w:jc w:val="both"/>
            </w:pPr>
            <w:r>
              <w:rPr>
                <w:rFonts w:ascii="Times New Roman" w:hAnsi="Times New Roman"/>
                <w:b w:val="0"/>
                <w:i w:val="0"/>
                <w:sz w:val="28"/>
                <w:u w:val="none"/>
              </w:rPr>
              <w:t>Strand 3: Geometry and Measurement</w:t>
            </w:r>
          </w:p>
        </w:tc>
      </w:tr>
      <w:tr>
        <w:tc>
          <w:tcPr>
            <w:tcW w:type="dxa" w:w="3888"/>
            <w:vAlign w:val="center"/>
          </w:tcPr>
          <w:p>
            <w:pPr>
              <w:jc w:val="center"/>
            </w:pPr>
            <w:r>
              <w:rPr>
                <w:rFonts w:ascii="Times New Roman" w:hAnsi="Times New Roman" w:eastAsia="Times New Roman"/>
                <w:b/>
                <w:sz w:val="32"/>
              </w:rPr>
              <w:t>SUBSTRAND</w:t>
            </w:r>
          </w:p>
        </w:tc>
        <w:tc>
          <w:tcPr>
            <w:tcW w:type="dxa" w:w="9072"/>
          </w:tcPr>
          <w:p/>
          <w:p>
            <w:pPr>
              <w:jc w:val="center"/>
            </w:pPr>
          </w:p>
          <w:p>
            <w:pPr>
              <w:jc w:val="both"/>
            </w:pPr>
            <w:r>
              <w:rPr>
                <w:rFonts w:ascii="Times New Roman" w:hAnsi="Times New Roman"/>
                <w:b w:val="0"/>
                <w:i w:val="0"/>
                <w:sz w:val="28"/>
                <w:u w:val="none"/>
              </w:rPr>
              <w:t>Substrand 3.2: Angles in a Polygon</w:t>
            </w:r>
          </w:p>
        </w:tc>
      </w:tr>
      <w:tr>
        <w:tc>
          <w:tcPr>
            <w:tcW w:type="dxa" w:w="3888"/>
            <w:vAlign w:val="center"/>
          </w:tcPr>
          <w:p>
            <w:pPr>
              <w:jc w:val="center"/>
            </w:pPr>
            <w:r>
              <w:rPr>
                <w:rFonts w:ascii="Times New Roman" w:hAnsi="Times New Roman" w:eastAsia="Times New Roman"/>
                <w:b/>
                <w:sz w:val="32"/>
              </w:rPr>
              <w:t>CLASS</w:t>
            </w:r>
          </w:p>
        </w:tc>
        <w:tc>
          <w:tcPr>
            <w:tcW w:type="dxa" w:w="9072"/>
          </w:tcPr>
          <w:p/>
          <w:p>
            <w:pPr>
              <w:jc w:val="center"/>
            </w:pPr>
          </w:p>
          <w:p>
            <w:pPr>
              <w:jc w:val="both"/>
            </w:pPr>
            <w:r>
              <w:rPr>
                <w:rFonts w:ascii="Times New Roman" w:hAnsi="Times New Roman"/>
                <w:b w:val="0"/>
                <w:i w:val="0"/>
                <w:sz w:val="28"/>
                <w:u w:val="none"/>
              </w:rPr>
              <w:t>Basic Eight</w:t>
            </w:r>
          </w:p>
        </w:tc>
      </w:tr>
      <w:tr>
        <w:tc>
          <w:tcPr>
            <w:tcW w:type="dxa" w:w="3888"/>
            <w:vAlign w:val="center"/>
          </w:tcPr>
          <w:p>
            <w:pPr>
              <w:jc w:val="center"/>
            </w:pPr>
            <w:r>
              <w:rPr>
                <w:rFonts w:ascii="Times New Roman" w:hAnsi="Times New Roman" w:eastAsia="Times New Roman"/>
                <w:b/>
                <w:sz w:val="32"/>
              </w:rPr>
              <w:t>CLASS SIZE</w:t>
            </w:r>
          </w:p>
        </w:tc>
        <w:tc>
          <w:tcPr>
            <w:tcW w:type="dxa" w:w="9072"/>
          </w:tcPr>
          <w:p/>
          <w:p>
            <w:pPr>
              <w:jc w:val="center"/>
            </w:pPr>
          </w:p>
          <w:p>
            <w:pPr>
              <w:jc w:val="both"/>
            </w:pPr>
            <w:r>
              <w:rPr>
                <w:rFonts w:ascii="Times New Roman" w:hAnsi="Times New Roman"/>
                <w:b w:val="0"/>
                <w:i w:val="0"/>
                <w:sz w:val="28"/>
                <w:u w:val="none"/>
              </w:rPr>
              <w:t>A(28) B(28) C(28)</w:t>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jc w:val="left"/>
            </w:pPr>
            <w:r>
              <w:rPr>
                <w:rFonts w:ascii="Times New Roman" w:hAnsi="Times New Roman"/>
                <w:b w:val="0"/>
                <w:i w:val="0"/>
                <w:sz w:val="28"/>
                <w:u w:val="none"/>
              </w:rPr>
              <w:t>3.2.1: Understand and calculate angles in polygons.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p>
            <w:pPr>
              <w:pStyle w:val="ListBullet"/>
              <w:jc w:val="left"/>
            </w:pPr>
            <w:r>
              <w:rPr>
                <w:rFonts w:ascii="Times New Roman" w:hAnsi="Times New Roman"/>
                <w:b w:val="0"/>
                <w:i w:val="0"/>
                <w:sz w:val="28"/>
                <w:u w:val="none"/>
              </w:rPr>
              <w:t>3.2.1.1: Identify and calculate the sum of interior and exterior angles of polygons.</w:t>
            </w: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jc w:val="left"/>
            </w:pPr>
            <w:r>
              <w:rPr>
                <w:rFonts w:ascii="Times New Roman" w:hAnsi="Times New Roman"/>
                <w:b w:val="0"/>
                <w:i w:val="0"/>
                <w:sz w:val="28"/>
                <w:u w:val="none"/>
              </w:rPr>
              <w:t>Calculate the sum of interior angles of different polygons.</w:t>
            </w:r>
          </w:p>
          <w:p>
            <w:pPr>
              <w:pStyle w:val="ListBullet"/>
              <w:jc w:val="left"/>
            </w:pPr>
            <w:r>
              <w:rPr>
                <w:rFonts w:ascii="Times New Roman" w:hAnsi="Times New Roman"/>
                <w:b w:val="0"/>
                <w:i w:val="0"/>
                <w:sz w:val="28"/>
                <w:u w:val="none"/>
              </w:rPr>
              <w:t>Determine the measure of each interior angle in a regular polygon.</w:t>
            </w:r>
          </w:p>
          <w:p>
            <w:pPr>
              <w:pStyle w:val="ListBullet"/>
              <w:jc w:val="left"/>
            </w:pPr>
            <w:r>
              <w:rPr>
                <w:rFonts w:ascii="Times New Roman" w:hAnsi="Times New Roman"/>
                <w:b w:val="0"/>
                <w:i w:val="0"/>
                <w:sz w:val="28"/>
                <w:u w:val="none"/>
              </w:rPr>
              <w:t>Identify and calculate the sum of exterior angles in a polygon.</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jc w:val="left"/>
            </w:pPr>
            <w:r>
              <w:rPr>
                <w:rFonts w:ascii="Times New Roman" w:hAnsi="Times New Roman"/>
                <w:b w:val="0"/>
                <w:i w:val="0"/>
                <w:sz w:val="28"/>
                <w:u w:val="none"/>
              </w:rPr>
              <w:t>Charts of polygons</w:t>
            </w:r>
          </w:p>
          <w:p>
            <w:pPr>
              <w:pStyle w:val="ListBullet"/>
              <w:jc w:val="left"/>
            </w:pPr>
            <w:r>
              <w:rPr>
                <w:rFonts w:ascii="Times New Roman" w:hAnsi="Times New Roman"/>
                <w:b w:val="0"/>
                <w:i w:val="0"/>
                <w:sz w:val="28"/>
                <w:u w:val="none"/>
              </w:rPr>
              <w:t>Markers</w:t>
            </w:r>
          </w:p>
          <w:p>
            <w:pPr>
              <w:pStyle w:val="ListBullet"/>
              <w:jc w:val="left"/>
            </w:pPr>
            <w:r>
              <w:rPr>
                <w:rFonts w:ascii="Times New Roman" w:hAnsi="Times New Roman"/>
                <w:b w:val="0"/>
                <w:i w:val="0"/>
                <w:sz w:val="28"/>
                <w:u w:val="none"/>
              </w:rPr>
              <w:t>Whiteboard</w:t>
            </w:r>
          </w:p>
          <w:p>
            <w:pPr>
              <w:pStyle w:val="ListBullet"/>
              <w:jc w:val="left"/>
            </w:pPr>
            <w:r>
              <w:rPr>
                <w:rFonts w:ascii="Times New Roman" w:hAnsi="Times New Roman"/>
                <w:b w:val="0"/>
                <w:i w:val="0"/>
                <w:sz w:val="28"/>
                <w:u w:val="none"/>
              </w:rPr>
              <w:t>Protractor</w:t>
            </w:r>
          </w:p>
          <w:p>
            <w:pPr>
              <w:pStyle w:val="ListBullet"/>
              <w:jc w:val="left"/>
            </w:pPr>
            <w:r>
              <w:rPr>
                <w:rFonts w:ascii="Times New Roman" w:hAnsi="Times New Roman"/>
                <w:b w:val="0"/>
                <w:i w:val="0"/>
                <w:sz w:val="28"/>
                <w:u w:val="none"/>
              </w:rPr>
              <w:t>Ruler</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jc w:val="left"/>
            </w:pPr>
            <w:r>
              <w:rPr>
                <w:rFonts w:ascii="Times New Roman" w:hAnsi="Times New Roman"/>
                <w:b w:val="0"/>
                <w:i w:val="0"/>
                <w:sz w:val="28"/>
                <w:u w:val="none"/>
              </w:rPr>
              <w:t>Creativity</w:t>
            </w:r>
          </w:p>
          <w:p>
            <w:pPr>
              <w:pStyle w:val="ListBullet"/>
              <w:jc w:val="left"/>
            </w:pPr>
            <w:r>
              <w:rPr>
                <w:rFonts w:ascii="Times New Roman" w:hAnsi="Times New Roman"/>
                <w:b w:val="0"/>
                <w:i w:val="0"/>
                <w:sz w:val="28"/>
                <w:u w:val="none"/>
              </w:rPr>
              <w:t>Critical Thinking</w:t>
            </w:r>
          </w:p>
          <w:p>
            <w:pPr>
              <w:pStyle w:val="ListBullet"/>
              <w:jc w:val="left"/>
            </w:pPr>
            <w:r>
              <w:rPr>
                <w:rFonts w:ascii="Times New Roman" w:hAnsi="Times New Roman"/>
                <w:b w:val="0"/>
                <w:i w:val="0"/>
                <w:sz w:val="28"/>
                <w:u w:val="none"/>
              </w:rPr>
              <w:t>Collaboration</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jc w:val="left"/>
            </w:pPr>
            <w:r>
              <w:rPr>
                <w:rFonts w:ascii="Times New Roman" w:hAnsi="Times New Roman"/>
                <w:b w:val="0"/>
                <w:i w:val="0"/>
                <w:sz w:val="28"/>
                <w:u w:val="none"/>
              </w:rPr>
              <w:t>Polygon</w:t>
            </w:r>
          </w:p>
          <w:p>
            <w:pPr>
              <w:pStyle w:val="ListBullet"/>
              <w:jc w:val="left"/>
            </w:pPr>
            <w:r>
              <w:rPr>
                <w:rFonts w:ascii="Times New Roman" w:hAnsi="Times New Roman"/>
                <w:b w:val="0"/>
                <w:i w:val="0"/>
                <w:sz w:val="28"/>
                <w:u w:val="none"/>
              </w:rPr>
              <w:t>Interior Angle</w:t>
            </w:r>
          </w:p>
          <w:p>
            <w:pPr>
              <w:pStyle w:val="ListBullet"/>
              <w:jc w:val="left"/>
            </w:pPr>
            <w:r>
              <w:rPr>
                <w:rFonts w:ascii="Times New Roman" w:hAnsi="Times New Roman"/>
                <w:b w:val="0"/>
                <w:i w:val="0"/>
                <w:sz w:val="28"/>
                <w:u w:val="none"/>
              </w:rPr>
              <w:t>Exterior Angle</w:t>
            </w:r>
          </w:p>
          <w:p>
            <w:pPr>
              <w:pStyle w:val="ListBullet"/>
              <w:jc w:val="left"/>
            </w:pPr>
            <w:r>
              <w:rPr>
                <w:rFonts w:ascii="Times New Roman" w:hAnsi="Times New Roman"/>
                <w:b w:val="0"/>
                <w:i w:val="0"/>
                <w:sz w:val="28"/>
                <w:u w:val="none"/>
              </w:rPr>
              <w:t>Regular Polygon</w:t>
            </w:r>
          </w:p>
          <w:p>
            <w:pPr>
              <w:pStyle w:val="ListBullet"/>
              <w:jc w:val="left"/>
            </w:pPr>
            <w:r>
              <w:rPr>
                <w:rFonts w:ascii="Times New Roman" w:hAnsi="Times New Roman"/>
                <w:b w:val="0"/>
                <w:i w:val="0"/>
                <w:sz w:val="28"/>
                <w:u w:val="none"/>
              </w:rPr>
              <w:t>Sum</w:t>
            </w:r>
          </w:p>
          <w:p>
            <w:pPr>
              <w:pStyle w:val="ListBullet"/>
              <w:jc w:val="left"/>
            </w:pPr>
            <w:r>
              <w:rPr>
                <w:rFonts w:ascii="Times New Roman" w:hAnsi="Times New Roman"/>
                <w:b w:val="0"/>
                <w:i w:val="0"/>
                <w:sz w:val="28"/>
                <w:u w:val="none"/>
              </w:rPr>
              <w:t>Vertex</w:t>
            </w:r>
          </w:p>
          <w:p>
            <w:pPr>
              <w:pStyle w:val="ListBullet"/>
              <w:jc w:val="left"/>
            </w:pPr>
            <w:r>
              <w:rPr>
                <w:rFonts w:ascii="Times New Roman" w:hAnsi="Times New Roman"/>
                <w:b w:val="0"/>
                <w:i w:val="0"/>
                <w:sz w:val="28"/>
                <w:u w:val="none"/>
              </w:rPr>
              <w:t>Adjacent</w:t>
            </w:r>
          </w:p>
        </w:tc>
      </w:tr>
      <w:tr>
        <w:tc>
          <w:tcPr>
            <w:tcW w:type="dxa" w:w="3888"/>
            <w:vAlign w:val="center"/>
          </w:tcPr>
          <w:p>
            <w:pPr>
              <w:jc w:val="center"/>
            </w:pPr>
            <w:r>
              <w:rPr>
                <w:rFonts w:ascii="Times New Roman" w:hAnsi="Times New Roman" w:eastAsia="Times New Roman"/>
                <w:b/>
                <w:sz w:val="32"/>
              </w:rPr>
              <w:t>R.P.K</w:t>
            </w:r>
          </w:p>
        </w:tc>
        <w:tc>
          <w:tcPr>
            <w:tcW w:type="dxa" w:w="9072"/>
          </w:tcPr>
          <w:p/>
          <w:p>
            <w:pPr>
              <w:jc w:val="center"/>
            </w:pPr>
          </w:p>
          <w:p>
            <w:pPr>
              <w:jc w:val="both"/>
            </w:pPr>
            <w:r>
              <w:rPr>
                <w:rFonts w:ascii="Times New Roman" w:hAnsi="Times New Roman"/>
                <w:b w:val="0"/>
                <w:i w:val="0"/>
                <w:sz w:val="28"/>
                <w:u w:val="none"/>
              </w:rPr>
              <w:t>Learners have previously studied basic shapes and their properties, including triangles and quadrilaterals.</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p>
            <w:pPr>
              <w:jc w:val="center"/>
            </w:pPr>
          </w:p>
          <w:p>
            <w:pPr>
              <w:jc w:val="both"/>
            </w:pPr>
            <w:r>
              <w:rPr>
                <w:rFonts w:ascii="Times New Roman" w:hAnsi="Times New Roman"/>
                <w:b w:val="0"/>
                <w:i w:val="0"/>
                <w:sz w:val="28"/>
                <w:u w:val="none"/>
              </w:rPr>
              <w:t>Begin the lesson by asking students to recall the different types of polygons they know. Pose the question: 'What do you notice about the angles as the number of sides of a polygon increases?' Use a quick drawing of a triangle and a pentagon to spark curiosity and discussion.</w:t>
            </w:r>
          </w:p>
        </w:tc>
        <w:tc>
          <w:tcPr>
            <w:tcW w:type="dxa" w:w="7776"/>
          </w:tcPr>
          <w:p/>
          <w:p>
            <w:pPr>
              <w:jc w:val="center"/>
            </w:pPr>
          </w:p>
          <w:p>
            <w:pPr>
              <w:jc w:val="both"/>
            </w:pPr>
            <w:r>
              <w:rPr>
                <w:rFonts w:ascii="Times New Roman" w:hAnsi="Times New Roman"/>
                <w:b w:val="0"/>
                <w:i w:val="0"/>
                <w:sz w:val="28"/>
                <w:u w:val="none"/>
              </w:rPr>
              <w:t xml:space="preserve">The objective of this lesson is to explore and understand how to calculate angles in polygons, focusing on both interior and exterior angles. We will begin by considering the sum of the interior angles. For any polygon with </w:t>
            </w:r>
          </w:p>
          <w:p>
            <w:pPr>
              <w:jc w:val="center"/>
            </w:pPr>
            <w:r>
              <w:drawing>
                <wp:inline xmlns:a="http://schemas.openxmlformats.org/drawingml/2006/main" xmlns:pic="http://schemas.openxmlformats.org/drawingml/2006/picture">
                  <wp:extent cx="3200400" cy="833120"/>
                  <wp:docPr id="2" name="Picture 2"/>
                  <wp:cNvGraphicFramePr>
                    <a:graphicFrameLocks noChangeAspect="1"/>
                  </wp:cNvGraphicFramePr>
                  <a:graphic>
                    <a:graphicData uri="http://schemas.openxmlformats.org/drawingml/2006/picture">
                      <pic:pic>
                        <pic:nvPicPr>
                          <pic:cNvPr id="0" name="tmp2jdiqiuu.png"/>
                          <pic:cNvPicPr/>
                        </pic:nvPicPr>
                        <pic:blipFill>
                          <a:blip r:embed="rId10"/>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sides, the sum of the interior angles can be calculated using the formula: \n\n\</w:t>
            </w:r>
          </w:p>
          <w:p>
            <w:pPr>
              <w:jc w:val="center"/>
            </w:pPr>
            <w:r>
              <w:drawing>
                <wp:inline xmlns:a="http://schemas.openxmlformats.org/drawingml/2006/main" xmlns:pic="http://schemas.openxmlformats.org/drawingml/2006/picture">
                  <wp:extent cx="3200400" cy="833120"/>
                  <wp:docPr id="3" name="Picture 3"/>
                  <wp:cNvGraphicFramePr>
                    <a:graphicFrameLocks noChangeAspect="1"/>
                  </wp:cNvGraphicFramePr>
                  <a:graphic>
                    <a:graphicData uri="http://schemas.openxmlformats.org/drawingml/2006/picture">
                      <pic:pic>
                        <pic:nvPicPr>
                          <pic:cNvPr id="0" name="tmpim8_pd1k.png"/>
                          <pic:cNvPicPr/>
                        </pic:nvPicPr>
                        <pic:blipFill>
                          <a:blip r:embed="rId11"/>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 xml:space="preserve">\n\nThis formula is derived from the fact that a polygon can be divided into </w:t>
            </w:r>
          </w:p>
          <w:p>
            <w:pPr>
              <w:jc w:val="center"/>
            </w:pPr>
            <w:r>
              <w:drawing>
                <wp:inline xmlns:a="http://schemas.openxmlformats.org/drawingml/2006/main" xmlns:pic="http://schemas.openxmlformats.org/drawingml/2006/picture">
                  <wp:extent cx="3200400" cy="833120"/>
                  <wp:docPr id="4" name="Picture 4"/>
                  <wp:cNvGraphicFramePr>
                    <a:graphicFrameLocks noChangeAspect="1"/>
                  </wp:cNvGraphicFramePr>
                  <a:graphic>
                    <a:graphicData uri="http://schemas.openxmlformats.org/drawingml/2006/picture">
                      <pic:pic>
                        <pic:nvPicPr>
                          <pic:cNvPr id="0" name="tmpgk4f9l3s.png"/>
                          <pic:cNvPicPr/>
                        </pic:nvPicPr>
                        <pic:blipFill>
                          <a:blip r:embed="rId12"/>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 xml:space="preserve">triangles, each having a sum of angles equal to </w:t>
            </w:r>
          </w:p>
          <w:p>
            <w:pPr>
              <w:jc w:val="center"/>
            </w:pPr>
            <w:r>
              <w:drawing>
                <wp:inline xmlns:a="http://schemas.openxmlformats.org/drawingml/2006/main" xmlns:pic="http://schemas.openxmlformats.org/drawingml/2006/picture">
                  <wp:extent cx="3200400" cy="833120"/>
                  <wp:docPr id="5" name="Picture 5"/>
                  <wp:cNvGraphicFramePr>
                    <a:graphicFrameLocks noChangeAspect="1"/>
                  </wp:cNvGraphicFramePr>
                  <a:graphic>
                    <a:graphicData uri="http://schemas.openxmlformats.org/drawingml/2006/picture">
                      <pic:pic>
                        <pic:nvPicPr>
                          <pic:cNvPr id="0" name="tmpgmy1ddkq.png"/>
                          <pic:cNvPicPr/>
                        </pic:nvPicPr>
                        <pic:blipFill>
                          <a:blip r:embed="rId13"/>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 For example, a pentagon can be divided into 3 triangles, thus the sum of its interior angles is \n\n\</w:t>
            </w:r>
          </w:p>
          <w:p>
            <w:pPr>
              <w:jc w:val="center"/>
            </w:pPr>
            <w:r>
              <w:drawing>
                <wp:inline xmlns:a="http://schemas.openxmlformats.org/drawingml/2006/main" xmlns:pic="http://schemas.openxmlformats.org/drawingml/2006/picture">
                  <wp:extent cx="3200400" cy="833120"/>
                  <wp:docPr id="6" name="Picture 6"/>
                  <wp:cNvGraphicFramePr>
                    <a:graphicFrameLocks noChangeAspect="1"/>
                  </wp:cNvGraphicFramePr>
                  <a:graphic>
                    <a:graphicData uri="http://schemas.openxmlformats.org/drawingml/2006/picture">
                      <pic:pic>
                        <pic:nvPicPr>
                          <pic:cNvPr id="0" name="tmprm2wjfxd.png"/>
                          <pic:cNvPicPr/>
                        </pic:nvPicPr>
                        <pic:blipFill>
                          <a:blip r:embed="rId14"/>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.\n\nNext, we explore regular polygons, where all sides and angles are equal. The measure of each interior angle in a regular polygon is given by:\n\n\</w:t>
            </w:r>
          </w:p>
          <w:p>
            <w:pPr>
              <w:jc w:val="center"/>
            </w:pPr>
            <w:r>
              <w:drawing>
                <wp:inline xmlns:a="http://schemas.openxmlformats.org/drawingml/2006/main" xmlns:pic="http://schemas.openxmlformats.org/drawingml/2006/picture">
                  <wp:extent cx="3200400" cy="833120"/>
                  <wp:docPr id="7" name="Picture 7"/>
                  <wp:cNvGraphicFramePr>
                    <a:graphicFrameLocks noChangeAspect="1"/>
                  </wp:cNvGraphicFramePr>
                  <a:graphic>
                    <a:graphicData uri="http://schemas.openxmlformats.org/drawingml/2006/picture">
                      <pic:pic>
                        <pic:nvPicPr>
                          <pic:cNvPr id="0" name="tmpf_x2g22p.png"/>
                          <pic:cNvPicPr/>
                        </pic:nvPicPr>
                        <pic:blipFill>
                          <a:blip r:embed="rId15"/>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\n\nFor example, in a regular hexagon (6 sides), each interior angle measures:\n\n\</w:t>
            </w:r>
          </w:p>
          <w:p>
            <w:pPr>
              <w:jc w:val="center"/>
            </w:pPr>
            <w:r>
              <w:drawing>
                <wp:inline xmlns:a="http://schemas.openxmlformats.org/drawingml/2006/main" xmlns:pic="http://schemas.openxmlformats.org/drawingml/2006/picture">
                  <wp:extent cx="3200400" cy="833120"/>
                  <wp:docPr id="8" name="Picture 8"/>
                  <wp:cNvGraphicFramePr>
                    <a:graphicFrameLocks noChangeAspect="1"/>
                  </wp:cNvGraphicFramePr>
                  <a:graphic>
                    <a:graphicData uri="http://schemas.openxmlformats.org/drawingml/2006/picture">
                      <pic:pic>
                        <pic:nvPicPr>
                          <pic:cNvPr id="0" name="tmp7r_gjljb.png"/>
                          <pic:cNvPicPr/>
                        </pic:nvPicPr>
                        <pic:blipFill>
                          <a:blip r:embed="rId16"/>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 xml:space="preserve">.\n\nMoving to exterior angles, the sum of the exterior angles of any polygon is always </w:t>
            </w:r>
          </w:p>
          <w:p>
            <w:pPr>
              <w:jc w:val="center"/>
            </w:pPr>
            <w:r>
              <w:drawing>
                <wp:inline xmlns:a="http://schemas.openxmlformats.org/drawingml/2006/main" xmlns:pic="http://schemas.openxmlformats.org/drawingml/2006/picture">
                  <wp:extent cx="3200400" cy="833120"/>
                  <wp:docPr id="9" name="Picture 9"/>
                  <wp:cNvGraphicFramePr>
                    <a:graphicFrameLocks noChangeAspect="1"/>
                  </wp:cNvGraphicFramePr>
                  <a:graphic>
                    <a:graphicData uri="http://schemas.openxmlformats.org/drawingml/2006/picture">
                      <pic:pic>
                        <pic:nvPicPr>
                          <pic:cNvPr id="0" name="tmp9c5ar0ri.png"/>
                          <pic:cNvPicPr/>
                        </pic:nvPicPr>
                        <pic:blipFill>
                          <a:blip r:embed="rId17"/>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 regardless of the number of sides. For regular polygons, each exterior angle can be calculated as:\n\n\</w:t>
            </w:r>
          </w:p>
          <w:p>
            <w:pPr>
              <w:jc w:val="center"/>
            </w:pPr>
            <w:r>
              <w:drawing>
                <wp:inline xmlns:a="http://schemas.openxmlformats.org/drawingml/2006/main" xmlns:pic="http://schemas.openxmlformats.org/drawingml/2006/picture">
                  <wp:extent cx="3200400" cy="833120"/>
                  <wp:docPr id="10" name="Picture 10"/>
                  <wp:cNvGraphicFramePr>
                    <a:graphicFrameLocks noChangeAspect="1"/>
                  </wp:cNvGraphicFramePr>
                  <a:graphic>
                    <a:graphicData uri="http://schemas.openxmlformats.org/drawingml/2006/picture">
                      <pic:pic>
                        <pic:nvPicPr>
                          <pic:cNvPr id="0" name="tmpdj00isuk.png"/>
                          <pic:cNvPicPr/>
                        </pic:nvPicPr>
                        <pic:blipFill>
                          <a:blip r:embed="rId18"/>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.\n\nFor instance, in a regular octagon (8 sides), each exterior angle is:\n\n\</w:t>
            </w:r>
          </w:p>
          <w:p>
            <w:pPr>
              <w:jc w:val="center"/>
            </w:pPr>
            <w:r>
              <w:drawing>
                <wp:inline xmlns:a="http://schemas.openxmlformats.org/drawingml/2006/main" xmlns:pic="http://schemas.openxmlformats.org/drawingml/2006/picture">
                  <wp:extent cx="3200400" cy="833120"/>
                  <wp:docPr id="11" name="Picture 11"/>
                  <wp:cNvGraphicFramePr>
                    <a:graphicFrameLocks noChangeAspect="1"/>
                  </wp:cNvGraphicFramePr>
                  <a:graphic>
                    <a:graphicData uri="http://schemas.openxmlformats.org/drawingml/2006/picture">
                      <pic:pic>
                        <pic:nvPicPr>
                          <pic:cNvPr id="0" name="tmpygsr8lcr.png"/>
                          <pic:cNvPicPr/>
                        </pic:nvPicPr>
                        <pic:blipFill>
                          <a:blip r:embed="rId19"/>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.\n\nTo solidify understanding, we will engage in two interactive activities: 1) Use protractors to measure and verify the angles of drawn polygons. 2) Collaborate in groups to solve puzzles that require arranging angles to form specific polygons. \n\nFor independent practice, solve the following problems: 1) Calculate the sum of interior angles of a decagon. 2) Determine the measure of each interior angle of a regular decagon. 3) Verify the sum of exterior angles of a heptagon.</w:t>
            </w:r>
          </w:p>
        </w:tc>
        <w:tc>
          <w:tcPr>
            <w:tcW w:type="dxa" w:w="2592"/>
          </w:tcPr>
          <w:p/>
          <w:p>
            <w:pPr>
              <w:jc w:val="center"/>
            </w:pPr>
          </w:p>
          <w:p>
            <w:pPr>
              <w:jc w:val="both"/>
            </w:pPr>
            <w:r>
              <w:rPr>
                <w:rFonts w:ascii="Times New Roman" w:hAnsi="Times New Roman"/>
                <w:b w:val="0"/>
                <w:i w:val="0"/>
                <w:sz w:val="28"/>
                <w:u w:val="none"/>
              </w:rPr>
              <w:t xml:space="preserve">Conclude the lesson by reviewing key concepts and ensuring clarity on the formulas used. Ask students to explain in their own words why the sum of exterior angles is always </w:t>
            </w:r>
          </w:p>
          <w:p>
            <w:pPr>
              <w:jc w:val="center"/>
            </w:pPr>
            <w:r>
              <w:drawing>
                <wp:inline xmlns:a="http://schemas.openxmlformats.org/drawingml/2006/main" xmlns:pic="http://schemas.openxmlformats.org/drawingml/2006/picture">
                  <wp:extent cx="3200400" cy="833120"/>
                  <wp:docPr id="12" name="Picture 12"/>
                  <wp:cNvGraphicFramePr>
                    <a:graphicFrameLocks noChangeAspect="1"/>
                  </wp:cNvGraphicFramePr>
                  <a:graphic>
                    <a:graphicData uri="http://schemas.openxmlformats.org/drawingml/2006/picture">
                      <pic:pic>
                        <pic:nvPicPr>
                          <pic:cNvPr id="0" name="tmp9c5ar0ri.png"/>
                          <pic:cNvPicPr/>
                        </pic:nvPicPr>
                        <pic:blipFill>
                          <a:blip r:embed="rId17"/>
                          <a:stretch>
                            <a:fillRect/>
                          </a:stretch>
                        </pic:blipFill>
                        <pic:spPr>
                          <a:xfrm>
                            <a:off x="0" y="0"/>
                            <a:ext cx="3200400" cy="833120"/>
                          </a:xfrm>
                          <a:prstGeom prst="rect"/>
                        </pic:spPr>
                      </pic:pic>
                    </a:graphicData>
                  </a:graphic>
                </wp:inline>
              </w:drawing>
            </w:r>
          </w:p>
          <w:p>
            <w:pPr>
              <w:jc w:val="center"/>
            </w:pPr>
          </w:p>
          <w:p>
            <w:pPr>
              <w:jc w:val="both"/>
            </w:pPr>
            <w:r>
              <w:rPr>
                <w:rFonts w:ascii="Times New Roman" w:hAnsi="Times New Roman"/>
                <w:b w:val="0"/>
                <w:i w:val="0"/>
                <w:sz w:val="28"/>
                <w:u w:val="none"/>
              </w:rPr>
              <w:t>. Discuss real-life applications of these concepts, such as in architecture and design, where precise angle calculations are crucial. Encourage students to share any difficulties they encountered and clarify any misconceptions.</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tc>
      </w:tr>
      <w:tr>
        <w:tc>
          <w:tcPr>
            <w:tcW w:type="dxa" w:w="3888"/>
            <w:vAlign w:val="center"/>
          </w:tcPr>
          <w:p>
            <w:pPr>
              <w:jc w:val="center"/>
            </w:pPr>
            <w:r>
              <w:rPr>
                <w:rFonts w:ascii="Times New Roman" w:hAnsi="Times New Roman" w:eastAsia="Times New Roman"/>
                <w:b/>
                <w:sz w:val="32"/>
              </w:rPr>
            </w:r>
          </w:p>
        </w:tc>
        <w:tc>
          <w:tcPr>
            <w:tcW w:type="dxa" w:w="9072"/>
          </w:tcPr>
          <w:p/>
          <w:p>
            <w:pPr>
              <w:jc w:val="center"/>
            </w:pPr>
          </w:p>
          <w:p>
            <w:pPr>
              <w:jc w:val="both"/>
            </w:pPr>
            <w:r>
              <w:rPr>
                <w:rFonts w:ascii="Times New Roman" w:hAnsi="Times New Roman"/>
                <w:b w:val="0"/>
                <w:i w:val="0"/>
                <w:sz w:val="28"/>
                <w:u w:val="none"/>
              </w:rPr>
              <w:t>Observe student participation during group activities and check for understanding through their responses. Provide verbal feedback and offer one-on-one assistance where needed. Collect and review independent practice problems to assess individual comprehension.</w:t>
            </w:r>
          </w:p>
          <w:p>
            <w:pPr>
              <w:jc w:val="center"/>
            </w:pPr>
          </w:p>
          <w:p>
            <w:pPr>
              <w:jc w:val="both"/>
            </w:pPr>
            <w:r>
              <w:rPr>
                <w:rFonts w:ascii="Times New Roman" w:hAnsi="Times New Roman"/>
                <w:b w:val="0"/>
                <w:i w:val="0"/>
                <w:sz w:val="28"/>
                <w:u w:val="none"/>
              </w:rPr>
              <w:t>For homework, students should find and measure the angles of a polygon they encounter in their environment, such as a table or a tile pattern. They should then calculate and verify the sum of the interior angles using the formula discussed in class. Write a short paragraph on their findings and any challenges faced.</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