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0"/>
        </w:rPr>
        <w:t>THE MORNING STAR SCHOOL LTD.</w:t>
        <w:br/>
        <w:br/>
        <w:drawing>
          <wp:inline xmlns:a="http://schemas.openxmlformats.org/drawingml/2006/main" xmlns:pic="http://schemas.openxmlformats.org/drawingml/2006/picture">
            <wp:extent cx="1371600" cy="1190065"/>
            <wp:docPr id="1" name="Picture 1"/>
            <wp:cNvGraphicFramePr>
              <a:graphicFrameLocks noChangeAspect="1"/>
            </wp:cNvGraphicFramePr>
            <a:graphic>
              <a:graphicData uri="http://schemas.openxmlformats.org/drawingml/2006/picture">
                <pic:pic>
                  <pic:nvPicPr>
                    <pic:cNvPr id="0" name="MostarLogo.png"/>
                    <pic:cNvPicPr/>
                  </pic:nvPicPr>
                  <pic:blipFill>
                    <a:blip r:embed="rId9"/>
                    <a:stretch>
                      <a:fillRect/>
                    </a:stretch>
                  </pic:blipFill>
                  <pic:spPr>
                    <a:xfrm>
                      <a:off x="0" y="0"/>
                      <a:ext cx="1371600" cy="1190065"/>
                    </a:xfrm>
                    <a:prstGeom prst="rect"/>
                  </pic:spPr>
                </pic:pic>
              </a:graphicData>
            </a:graphic>
          </wp:inline>
        </w:drawing>
        <w:br/>
        <w:t>WEEKLY LESSON PLAN</w:t>
      </w:r>
    </w:p>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WEEK ENDING</w:t>
            </w:r>
          </w:p>
        </w:tc>
        <w:tc>
          <w:tcPr>
            <w:tcW w:type="dxa" w:w="9072"/>
          </w:tcPr>
          <w:p>
            <w:pPr>
              <w:jc w:val="both"/>
            </w:pPr>
          </w:p>
          <w:p>
            <w:pPr>
              <w:jc w:val="both"/>
            </w:pPr>
            <w:r>
              <w:rPr>
                <w:rFonts w:ascii="Times New Roman" w:hAnsi="Times New Roman"/>
                <w:b w:val="0"/>
                <w:i w:val="0"/>
                <w:sz w:val="28"/>
                <w:u w:val="none"/>
              </w:rPr>
              <w:t>16th May, 2025</w:t>
            </w:r>
          </w:p>
        </w:tc>
      </w:tr>
      <w:tr>
        <w:tc>
          <w:tcPr>
            <w:tcW w:type="dxa" w:w="3888"/>
            <w:vAlign w:val="center"/>
          </w:tcPr>
          <w:p>
            <w:pPr>
              <w:jc w:val="center"/>
            </w:pPr>
            <w:r>
              <w:rPr>
                <w:rFonts w:ascii="Times New Roman" w:hAnsi="Times New Roman" w:eastAsia="Times New Roman"/>
                <w:b/>
                <w:sz w:val="32"/>
              </w:rPr>
              <w:t>DAYS</w:t>
            </w:r>
          </w:p>
        </w:tc>
        <w:tc>
          <w:tcPr>
            <w:tcW w:type="dxa" w:w="9072"/>
          </w:tcPr>
          <w:p>
            <w:pPr>
              <w:jc w:val="both"/>
            </w:pPr>
          </w:p>
          <w:p>
            <w:pPr>
              <w:jc w:val="both"/>
            </w:pPr>
            <w:r>
              <w:rPr>
                <w:rFonts w:ascii="Times New Roman" w:hAnsi="Times New Roman"/>
                <w:b w:val="0"/>
                <w:i w:val="0"/>
                <w:sz w:val="28"/>
                <w:u w:val="none"/>
              </w:rPr>
              <w:t>M o n d a y   -   F r i d a y</w:t>
            </w:r>
          </w:p>
        </w:tc>
      </w:tr>
      <w:tr>
        <w:tc>
          <w:tcPr>
            <w:tcW w:type="dxa" w:w="3888"/>
            <w:vAlign w:val="center"/>
          </w:tcPr>
          <w:p>
            <w:pPr>
              <w:jc w:val="center"/>
            </w:pPr>
            <w:r>
              <w:rPr>
                <w:rFonts w:ascii="Times New Roman" w:hAnsi="Times New Roman" w:eastAsia="Times New Roman"/>
                <w:b/>
                <w:sz w:val="32"/>
              </w:rPr>
              <w:t>DURATION</w:t>
            </w:r>
          </w:p>
        </w:tc>
        <w:tc>
          <w:tcPr>
            <w:tcW w:type="dxa" w:w="9072"/>
          </w:tcPr>
          <w:p>
            <w:pPr>
              <w:jc w:val="both"/>
            </w:pPr>
          </w:p>
          <w:p>
            <w:pPr>
              <w:jc w:val="both"/>
            </w:pPr>
            <w:r>
              <w:rPr>
                <w:rFonts w:ascii="Times New Roman" w:hAnsi="Times New Roman"/>
                <w:b w:val="0"/>
                <w:i w:val="0"/>
                <w:sz w:val="28"/>
                <w:u w:val="none"/>
              </w:rPr>
              <w:t>4 periods per class</w:t>
            </w:r>
          </w:p>
        </w:tc>
      </w:tr>
      <w:tr>
        <w:tc>
          <w:tcPr>
            <w:tcW w:type="dxa" w:w="3888"/>
            <w:vAlign w:val="center"/>
          </w:tcPr>
          <w:p>
            <w:pPr>
              <w:jc w:val="center"/>
            </w:pPr>
            <w:r>
              <w:rPr>
                <w:rFonts w:ascii="Times New Roman" w:hAnsi="Times New Roman" w:eastAsia="Times New Roman"/>
                <w:b/>
                <w:sz w:val="32"/>
              </w:rPr>
              <w:t>SUBJECT</w:t>
            </w:r>
          </w:p>
        </w:tc>
        <w:tc>
          <w:tcPr>
            <w:tcW w:type="dxa" w:w="9072"/>
          </w:tcPr>
          <w:p>
            <w:pPr>
              <w:jc w:val="both"/>
            </w:pPr>
          </w:p>
          <w:p>
            <w:pPr>
              <w:jc w:val="both"/>
            </w:pPr>
            <w:r>
              <w:rPr>
                <w:rFonts w:ascii="Times New Roman" w:hAnsi="Times New Roman"/>
                <w:b w:val="0"/>
                <w:i w:val="0"/>
                <w:sz w:val="28"/>
                <w:u w:val="none"/>
              </w:rPr>
              <w:t>Mathematics</w:t>
            </w:r>
          </w:p>
        </w:tc>
      </w:tr>
      <w:tr>
        <w:tc>
          <w:tcPr>
            <w:tcW w:type="dxa" w:w="3888"/>
            <w:vAlign w:val="center"/>
          </w:tcPr>
          <w:p>
            <w:pPr>
              <w:jc w:val="center"/>
            </w:pPr>
            <w:r>
              <w:rPr>
                <w:rFonts w:ascii="Times New Roman" w:hAnsi="Times New Roman" w:eastAsia="Times New Roman"/>
                <w:b/>
                <w:sz w:val="32"/>
              </w:rPr>
              <w:t>STRAND</w:t>
            </w:r>
          </w:p>
        </w:tc>
        <w:tc>
          <w:tcPr>
            <w:tcW w:type="dxa" w:w="9072"/>
          </w:tcPr>
          <w:p>
            <w:pPr>
              <w:jc w:val="both"/>
            </w:pPr>
          </w:p>
          <w:p>
            <w:pPr>
              <w:jc w:val="both"/>
            </w:pPr>
            <w:r>
              <w:rPr>
                <w:rFonts w:ascii="Times New Roman" w:hAnsi="Times New Roman"/>
                <w:b w:val="0"/>
                <w:i w:val="0"/>
                <w:sz w:val="28"/>
                <w:u w:val="none"/>
              </w:rPr>
              <w:t>3: Geometry and Measurement</w:t>
            </w:r>
          </w:p>
        </w:tc>
      </w:tr>
      <w:tr>
        <w:tc>
          <w:tcPr>
            <w:tcW w:type="dxa" w:w="3888"/>
            <w:vAlign w:val="center"/>
          </w:tcPr>
          <w:p>
            <w:pPr>
              <w:jc w:val="center"/>
            </w:pPr>
            <w:r>
              <w:rPr>
                <w:rFonts w:ascii="Times New Roman" w:hAnsi="Times New Roman" w:eastAsia="Times New Roman"/>
                <w:b/>
                <w:sz w:val="32"/>
              </w:rPr>
              <w:t>SUBSTRAND</w:t>
            </w:r>
          </w:p>
        </w:tc>
        <w:tc>
          <w:tcPr>
            <w:tcW w:type="dxa" w:w="9072"/>
          </w:tcPr>
          <w:p>
            <w:pPr>
              <w:jc w:val="both"/>
            </w:pPr>
          </w:p>
          <w:p>
            <w:pPr>
              <w:jc w:val="both"/>
            </w:pPr>
            <w:r>
              <w:rPr>
                <w:rFonts w:ascii="Times New Roman" w:hAnsi="Times New Roman"/>
                <w:b w:val="0"/>
                <w:i w:val="0"/>
                <w:sz w:val="28"/>
                <w:u w:val="none"/>
              </w:rPr>
              <w:t>3.4: Angles in Polygons</w:t>
            </w:r>
          </w:p>
        </w:tc>
      </w:tr>
      <w:tr>
        <w:tc>
          <w:tcPr>
            <w:tcW w:type="dxa" w:w="3888"/>
            <w:vAlign w:val="center"/>
          </w:tcPr>
          <w:p>
            <w:pPr>
              <w:jc w:val="center"/>
            </w:pPr>
            <w:r>
              <w:rPr>
                <w:rFonts w:ascii="Times New Roman" w:hAnsi="Times New Roman" w:eastAsia="Times New Roman"/>
                <w:b/>
                <w:sz w:val="32"/>
              </w:rPr>
              <w:t>CLASS</w:t>
            </w:r>
          </w:p>
        </w:tc>
        <w:tc>
          <w:tcPr>
            <w:tcW w:type="dxa" w:w="9072"/>
          </w:tcPr>
          <w:p>
            <w:pPr>
              <w:jc w:val="both"/>
            </w:pPr>
          </w:p>
          <w:p>
            <w:pPr>
              <w:jc w:val="both"/>
            </w:pPr>
            <w:r>
              <w:rPr>
                <w:rFonts w:ascii="Times New Roman" w:hAnsi="Times New Roman"/>
                <w:b w:val="0"/>
                <w:i w:val="0"/>
                <w:sz w:val="28"/>
                <w:u w:val="none"/>
              </w:rPr>
              <w:t>Basic Eight</w:t>
            </w:r>
          </w:p>
        </w:tc>
      </w:tr>
      <w:tr>
        <w:tc>
          <w:tcPr>
            <w:tcW w:type="dxa" w:w="3888"/>
            <w:vAlign w:val="center"/>
          </w:tcPr>
          <w:p>
            <w:pPr>
              <w:jc w:val="center"/>
            </w:pPr>
            <w:r>
              <w:rPr>
                <w:rFonts w:ascii="Times New Roman" w:hAnsi="Times New Roman" w:eastAsia="Times New Roman"/>
                <w:b/>
                <w:sz w:val="32"/>
              </w:rPr>
              <w:t>CLASS SIZE</w:t>
            </w:r>
          </w:p>
        </w:tc>
        <w:tc>
          <w:tcPr>
            <w:tcW w:type="dxa" w:w="9072"/>
          </w:tcPr>
          <w:p>
            <w:pPr>
              <w:jc w:val="both"/>
            </w:pPr>
          </w:p>
          <w:p>
            <w:pPr>
              <w:jc w:val="both"/>
            </w:pPr>
            <w:r>
              <w:rPr>
                <w:rFonts w:ascii="Times New Roman" w:hAnsi="Times New Roman"/>
                <w:b w:val="0"/>
                <w:i w:val="0"/>
                <w:sz w:val="28"/>
                <w:u w:val="none"/>
              </w:rPr>
              <w:t>A(28) B(28) C(28)</w:t>
            </w:r>
          </w:p>
        </w:tc>
      </w:tr>
      <w:tr>
        <w:tc>
          <w:tcPr>
            <w:tcW w:type="dxa" w:w="3888"/>
            <w:vAlign w:val="center"/>
          </w:tcPr>
          <w:p>
            <w:pPr>
              <w:jc w:val="center"/>
            </w:pPr>
            <w:r>
              <w:rPr>
                <w:rFonts w:ascii="Times New Roman" w:hAnsi="Times New Roman" w:eastAsia="Times New Roman"/>
                <w:b/>
                <w:sz w:val="32"/>
              </w:rPr>
              <w:t>CONTENT STANDARD (ANNOTATION)</w:t>
            </w:r>
          </w:p>
        </w:tc>
        <w:tc>
          <w:tcPr>
            <w:tcW w:type="dxa" w:w="9072"/>
          </w:tcPr>
          <w:p/>
          <w:p>
            <w:pPr>
              <w:pStyle w:val="ListBullet"/>
              <w:jc w:val="left"/>
            </w:pPr>
            <w:r>
              <w:rPr>
                <w:rFonts w:ascii="Times New Roman" w:hAnsi="Times New Roman"/>
                <w:b w:val="0"/>
                <w:i w:val="0"/>
                <w:sz w:val="28"/>
                <w:u w:val="none"/>
              </w:rPr>
              <w:t>3.4.1: Demonstrate understanding of angles in polygons and their properties</w:t>
            </w:r>
          </w:p>
        </w:tc>
      </w:tr>
      <w:tr>
        <w:tc>
          <w:tcPr>
            <w:tcW w:type="dxa" w:w="3888"/>
            <w:vAlign w:val="center"/>
          </w:tcPr>
          <w:p>
            <w:pPr>
              <w:jc w:val="center"/>
            </w:pPr>
            <w:r>
              <w:rPr>
                <w:rFonts w:ascii="Times New Roman" w:hAnsi="Times New Roman" w:eastAsia="Times New Roman"/>
                <w:b/>
                <w:sz w:val="32"/>
              </w:rPr>
              <w:t>LEARNING INDICATOR(S)</w:t>
            </w:r>
          </w:p>
        </w:tc>
        <w:tc>
          <w:tcPr>
            <w:tcW w:type="dxa" w:w="9072"/>
          </w:tcPr>
          <w:p/>
          <w:p>
            <w:pPr>
              <w:pStyle w:val="ListBullet"/>
              <w:jc w:val="left"/>
            </w:pPr>
            <w:r>
              <w:rPr>
                <w:rFonts w:ascii="Times New Roman" w:hAnsi="Times New Roman"/>
                <w:b w:val="0"/>
                <w:i w:val="0"/>
                <w:sz w:val="28"/>
                <w:u w:val="none"/>
              </w:rPr>
              <w:t>3.4.1.1: Identify and calculate interior and exterior angles of polygons</w:t>
            </w:r>
          </w:p>
        </w:tc>
      </w:tr>
      <w:tr>
        <w:tc>
          <w:tcPr>
            <w:tcW w:type="dxa" w:w="3888"/>
            <w:vAlign w:val="center"/>
          </w:tcPr>
          <w:p>
            <w:pPr>
              <w:jc w:val="center"/>
            </w:pPr>
            <w:r>
              <w:rPr>
                <w:rFonts w:ascii="Times New Roman" w:hAnsi="Times New Roman" w:eastAsia="Times New Roman"/>
                <w:b/>
                <w:sz w:val="32"/>
              </w:rPr>
              <w:t>PERFORMANCE INDICATOR(S)</w:t>
            </w:r>
          </w:p>
        </w:tc>
        <w:tc>
          <w:tcPr>
            <w:tcW w:type="dxa" w:w="9072"/>
          </w:tcPr>
          <w:p/>
          <w:p>
            <w:pPr>
              <w:pStyle w:val="ListBullet"/>
              <w:jc w:val="left"/>
            </w:pPr>
            <w:r>
              <w:rPr>
                <w:rFonts w:ascii="Times New Roman" w:hAnsi="Times New Roman"/>
                <w:b w:val="0"/>
                <w:i w:val="0"/>
                <w:sz w:val="28"/>
                <w:u w:val="none"/>
              </w:rPr>
              <w:t>Learners should be able to calculate the sum of interior angles of any polygon.</w:t>
            </w:r>
          </w:p>
          <w:p>
            <w:pPr>
              <w:pStyle w:val="ListBullet"/>
              <w:jc w:val="left"/>
            </w:pPr>
            <w:r>
              <w:rPr>
                <w:rFonts w:ascii="Times New Roman" w:hAnsi="Times New Roman"/>
                <w:b w:val="0"/>
                <w:i w:val="0"/>
                <w:sz w:val="28"/>
                <w:u w:val="none"/>
              </w:rPr>
              <w:t>Learners should be able to find the measure of each interior angle in regular polygons.</w:t>
            </w:r>
          </w:p>
          <w:p>
            <w:pPr>
              <w:pStyle w:val="ListBullet"/>
              <w:jc w:val="left"/>
            </w:pPr>
            <w:r>
              <w:rPr>
                <w:rFonts w:ascii="Times New Roman" w:hAnsi="Times New Roman"/>
                <w:b w:val="0"/>
                <w:i w:val="0"/>
                <w:sz w:val="28"/>
                <w:u w:val="none"/>
              </w:rPr>
              <w:t>Learners should be able to apply angle properties to solve problems involving polygons.</w:t>
            </w:r>
          </w:p>
        </w:tc>
      </w:tr>
      <w:tr>
        <w:tc>
          <w:tcPr>
            <w:tcW w:type="dxa" w:w="3888"/>
            <w:vAlign w:val="center"/>
          </w:tcPr>
          <w:p>
            <w:pPr>
              <w:jc w:val="center"/>
            </w:pPr>
            <w:r>
              <w:rPr>
                <w:rFonts w:ascii="Times New Roman" w:hAnsi="Times New Roman" w:eastAsia="Times New Roman"/>
                <w:b/>
                <w:sz w:val="32"/>
              </w:rPr>
              <w:t>TEACHING/LEARNING RESOURCES (TLMS)</w:t>
            </w:r>
          </w:p>
        </w:tc>
        <w:tc>
          <w:tcPr>
            <w:tcW w:type="dxa" w:w="9072"/>
          </w:tcPr>
          <w:p/>
          <w:p>
            <w:pPr>
              <w:pStyle w:val="ListBullet"/>
              <w:jc w:val="left"/>
            </w:pPr>
            <w:r>
              <w:rPr>
                <w:rFonts w:ascii="Times New Roman" w:hAnsi="Times New Roman"/>
                <w:b w:val="0"/>
                <w:i w:val="0"/>
                <w:sz w:val="28"/>
                <w:u w:val="none"/>
              </w:rPr>
              <w:t>Charts of polygons, markers, whiteboard, protractor, ruler</w:t>
            </w:r>
          </w:p>
        </w:tc>
      </w:tr>
      <w:tr>
        <w:tc>
          <w:tcPr>
            <w:tcW w:type="dxa" w:w="3888"/>
            <w:vAlign w:val="center"/>
          </w:tcPr>
          <w:p>
            <w:pPr>
              <w:jc w:val="center"/>
            </w:pPr>
            <w:r>
              <w:rPr>
                <w:rFonts w:ascii="Times New Roman" w:hAnsi="Times New Roman" w:eastAsia="Times New Roman"/>
                <w:b/>
                <w:sz w:val="32"/>
              </w:rPr>
              <w:t>CORE COMPETENCIES</w:t>
            </w:r>
          </w:p>
        </w:tc>
        <w:tc>
          <w:tcPr>
            <w:tcW w:type="dxa" w:w="9072"/>
          </w:tcPr>
          <w:p/>
          <w:p>
            <w:pPr>
              <w:pStyle w:val="ListBullet"/>
              <w:jc w:val="left"/>
            </w:pPr>
            <w:r>
              <w:rPr>
                <w:rFonts w:ascii="Times New Roman" w:hAnsi="Times New Roman"/>
                <w:b w:val="0"/>
                <w:i w:val="0"/>
                <w:sz w:val="28"/>
                <w:u w:val="none"/>
              </w:rPr>
              <w:t>Creativity, Critical Thinking, Collaboration</w:t>
            </w:r>
          </w:p>
        </w:tc>
      </w:tr>
      <w:tr>
        <w:tc>
          <w:tcPr>
            <w:tcW w:type="dxa" w:w="3888"/>
            <w:vAlign w:val="center"/>
          </w:tcPr>
          <w:p>
            <w:pPr>
              <w:jc w:val="center"/>
            </w:pPr>
            <w:r>
              <w:rPr>
                <w:rFonts w:ascii="Times New Roman" w:hAnsi="Times New Roman" w:eastAsia="Times New Roman"/>
                <w:b/>
                <w:sz w:val="32"/>
              </w:rPr>
              <w:t>KEY WORDS</w:t>
            </w:r>
          </w:p>
        </w:tc>
        <w:tc>
          <w:tcPr>
            <w:tcW w:type="dxa" w:w="9072"/>
          </w:tcPr>
          <w:p/>
          <w:p>
            <w:pPr>
              <w:pStyle w:val="ListBullet"/>
              <w:jc w:val="left"/>
            </w:pPr>
            <w:r>
              <w:rPr>
                <w:rFonts w:ascii="Times New Roman" w:hAnsi="Times New Roman"/>
                <w:b w:val="0"/>
                <w:i w:val="0"/>
                <w:sz w:val="28"/>
                <w:u w:val="none"/>
              </w:rPr>
              <w:t>Polygon</w:t>
            </w:r>
          </w:p>
          <w:p>
            <w:pPr>
              <w:pStyle w:val="ListBullet"/>
              <w:jc w:val="left"/>
            </w:pPr>
            <w:r>
              <w:rPr>
                <w:rFonts w:ascii="Times New Roman" w:hAnsi="Times New Roman"/>
                <w:b w:val="0"/>
                <w:i w:val="0"/>
                <w:sz w:val="28"/>
                <w:u w:val="none"/>
              </w:rPr>
              <w:t>Interior Angle</w:t>
            </w:r>
          </w:p>
          <w:p>
            <w:pPr>
              <w:pStyle w:val="ListBullet"/>
              <w:jc w:val="left"/>
            </w:pPr>
            <w:r>
              <w:rPr>
                <w:rFonts w:ascii="Times New Roman" w:hAnsi="Times New Roman"/>
                <w:b w:val="0"/>
                <w:i w:val="0"/>
                <w:sz w:val="28"/>
                <w:u w:val="none"/>
              </w:rPr>
              <w:t>Exterior Angle</w:t>
            </w:r>
          </w:p>
          <w:p>
            <w:pPr>
              <w:pStyle w:val="ListBullet"/>
              <w:jc w:val="left"/>
            </w:pPr>
            <w:r>
              <w:rPr>
                <w:rFonts w:ascii="Times New Roman" w:hAnsi="Times New Roman"/>
                <w:b w:val="0"/>
                <w:i w:val="0"/>
                <w:sz w:val="28"/>
                <w:u w:val="none"/>
              </w:rPr>
              <w:t>Regular Polygon</w:t>
            </w:r>
          </w:p>
          <w:p>
            <w:pPr>
              <w:pStyle w:val="ListBullet"/>
              <w:jc w:val="left"/>
            </w:pPr>
            <w:r>
              <w:rPr>
                <w:rFonts w:ascii="Times New Roman" w:hAnsi="Times New Roman"/>
                <w:b w:val="0"/>
                <w:i w:val="0"/>
                <w:sz w:val="28"/>
                <w:u w:val="none"/>
              </w:rPr>
              <w:t>Irregular Polygon</w:t>
            </w:r>
          </w:p>
          <w:p>
            <w:pPr>
              <w:pStyle w:val="ListBullet"/>
              <w:jc w:val="left"/>
            </w:pPr>
            <w:r>
              <w:rPr>
                <w:rFonts w:ascii="Times New Roman" w:hAnsi="Times New Roman"/>
                <w:b w:val="0"/>
                <w:i w:val="0"/>
                <w:sz w:val="28"/>
                <w:u w:val="none"/>
              </w:rPr>
              <w:t>Sum of Angles</w:t>
            </w:r>
          </w:p>
          <w:p>
            <w:pPr>
              <w:pStyle w:val="ListBullet"/>
              <w:jc w:val="left"/>
            </w:pPr>
            <w:r>
              <w:rPr>
                <w:rFonts w:ascii="Times New Roman" w:hAnsi="Times New Roman"/>
                <w:b w:val="0"/>
                <w:i w:val="0"/>
                <w:sz w:val="28"/>
                <w:u w:val="none"/>
              </w:rPr>
              <w:t>Vertex</w:t>
            </w:r>
          </w:p>
        </w:tc>
      </w:tr>
      <w:tr>
        <w:tc>
          <w:tcPr>
            <w:tcW w:type="dxa" w:w="3888"/>
            <w:vAlign w:val="center"/>
          </w:tcPr>
          <w:p>
            <w:pPr>
              <w:jc w:val="center"/>
            </w:pPr>
            <w:r>
              <w:rPr>
                <w:rFonts w:ascii="Times New Roman" w:hAnsi="Times New Roman" w:eastAsia="Times New Roman"/>
                <w:b/>
                <w:sz w:val="32"/>
              </w:rPr>
              <w:t>R.P.K</w:t>
            </w:r>
          </w:p>
        </w:tc>
        <w:tc>
          <w:tcPr>
            <w:tcW w:type="dxa" w:w="9072"/>
          </w:tcPr>
          <w:p>
            <w:pPr>
              <w:jc w:val="both"/>
            </w:pPr>
          </w:p>
          <w:p>
            <w:pPr>
              <w:jc w:val="both"/>
            </w:pPr>
            <w:r>
              <w:rPr>
                <w:rFonts w:ascii="Times New Roman" w:hAnsi="Times New Roman"/>
                <w:b w:val="0"/>
                <w:i w:val="0"/>
                <w:sz w:val="28"/>
                <w:u w:val="none"/>
              </w:rPr>
              <w:t>Learners are familiar with basic shapes and can identify polygons such as triangles and quadrilaterals.</w:t>
            </w:r>
          </w:p>
        </w:tc>
      </w:tr>
    </w:tbl>
    <w:p/>
    <w:tbl>
      <w:tblPr>
        <w:tblStyle w:val="TableGrid"/>
        <w:tblW w:type="auto" w:w="0"/>
        <w:tblLayout w:type="fixed"/>
        <w:tblLook w:firstColumn="1" w:firstRow="1" w:lastColumn="0" w:lastRow="0" w:noHBand="0" w:noVBand="1" w:val="04A0"/>
      </w:tblPr>
      <w:tblGrid>
        <w:gridCol w:w="4080"/>
        <w:gridCol w:w="4080"/>
        <w:gridCol w:w="4080"/>
      </w:tblGrid>
      <w:tr>
        <w:tc>
          <w:tcPr>
            <w:tcW w:type="dxa" w:w="2592"/>
            <w:vAlign w:val="center"/>
          </w:tcPr>
          <w:p>
            <w:pPr>
              <w:jc w:val="both"/>
            </w:pPr>
            <w:r>
              <w:rPr>
                <w:rFonts w:ascii="Times New Roman" w:hAnsi="Times New Roman" w:eastAsia="Times New Roman"/>
                <w:b/>
                <w:sz w:val="28"/>
              </w:rPr>
              <w:t>PHASE 1: STARTER</w:t>
            </w:r>
          </w:p>
        </w:tc>
        <w:tc>
          <w:tcPr>
            <w:tcW w:type="dxa" w:w="7776"/>
            <w:vAlign w:val="center"/>
          </w:tcPr>
          <w:p>
            <w:pPr>
              <w:jc w:val="center"/>
            </w:pPr>
            <w:r>
              <w:rPr>
                <w:rFonts w:ascii="Times New Roman" w:hAnsi="Times New Roman" w:eastAsia="Times New Roman"/>
                <w:b/>
                <w:sz w:val="28"/>
              </w:rPr>
              <w:t>PHASE 2: MAIN</w:t>
            </w:r>
          </w:p>
        </w:tc>
        <w:tc>
          <w:tcPr>
            <w:tcW w:type="dxa" w:w="2592"/>
            <w:vAlign w:val="center"/>
          </w:tcPr>
          <w:p>
            <w:pPr>
              <w:jc w:val="center"/>
            </w:pPr>
            <w:r>
              <w:rPr>
                <w:rFonts w:ascii="Times New Roman" w:hAnsi="Times New Roman" w:eastAsia="Times New Roman"/>
                <w:b/>
                <w:sz w:val="28"/>
              </w:rPr>
              <w:t>PHASE 3: REFLECTION</w:t>
            </w:r>
          </w:p>
        </w:tc>
      </w:tr>
      <w:tr>
        <w:tc>
          <w:tcPr>
            <w:tcW w:type="dxa" w:w="2592"/>
          </w:tcPr>
          <w:p>
            <w:pPr>
              <w:jc w:val="both"/>
            </w:pPr>
          </w:p>
          <w:p>
            <w:pPr>
              <w:jc w:val="both"/>
            </w:pPr>
            <w:r>
              <w:rPr>
                <w:rFonts w:ascii="Times New Roman" w:hAnsi="Times New Roman"/>
                <w:b w:val="0"/>
                <w:i w:val="0"/>
                <w:sz w:val="28"/>
                <w:u w:val="none"/>
              </w:rPr>
              <w:t>Begin the lesson by asking students to recall different types of polygons they have learned about, such as triangles, quadrilaterals, pentagons, etc. Ask them to share any properties they know about these shapes. This will help set the stage for understanding the angles within these polygons.</w:t>
            </w:r>
          </w:p>
        </w:tc>
        <w:tc>
          <w:tcPr>
            <w:tcW w:type="dxa" w:w="7776"/>
          </w:tcPr>
          <w:p>
            <w:pPr>
              <w:jc w:val="both"/>
            </w:pPr>
            <w:r>
              <w:rPr>
                <w:rFonts w:ascii="Times New Roman" w:hAnsi="Times New Roman"/>
                <w:b/>
                <w:i w:val="0"/>
                <w:sz w:val="28"/>
                <w:u w:val="none"/>
              </w:rPr>
              <w:t>Lesson Objective</w:t>
            </w:r>
            <w:r>
              <w:rPr>
                <w:rFonts w:ascii="Times New Roman" w:hAnsi="Times New Roman"/>
                <w:b w:val="0"/>
                <w:i w:val="0"/>
                <w:sz w:val="28"/>
                <w:u w:val="none"/>
              </w:rPr>
              <w:t>: By the end of the lesson, students will understand how to calculate the sum of interior angles of polygons and apply this knowledge to find individual angles in regular polygons.\n\n2.</w:t>
            </w:r>
            <w:r>
              <w:rPr>
                <w:rFonts w:ascii="Times New Roman" w:hAnsi="Times New Roman"/>
                <w:b/>
                <w:i w:val="0"/>
                <w:sz w:val="28"/>
                <w:u w:val="none"/>
              </w:rPr>
              <w:t>Introduction</w:t>
            </w:r>
            <w:r>
              <w:rPr>
                <w:rFonts w:ascii="Times New Roman" w:hAnsi="Times New Roman"/>
                <w:b w:val="0"/>
                <w:i w:val="0"/>
                <w:sz w:val="28"/>
                <w:u w:val="none"/>
              </w:rPr>
              <w:t>: Explain that polygons are shapes with straight sides. In Ghana, traditional designs often incorporate polygonal patterns such as those found in Kente cloth. Discuss how understanding angles in these shapes can help in designing patterns and structures.\n\n3.</w:t>
            </w:r>
            <w:r>
              <w:rPr>
                <w:rFonts w:ascii="Times New Roman" w:hAnsi="Times New Roman"/>
                <w:b/>
                <w:i w:val="0"/>
                <w:sz w:val="28"/>
                <w:u w:val="none"/>
              </w:rPr>
              <w:t>Step-by-Step Explanation</w:t>
            </w:r>
            <w:r>
              <w:rPr>
                <w:rFonts w:ascii="Times New Roman" w:hAnsi="Times New Roman"/>
                <w:b w:val="0"/>
                <w:i w:val="0"/>
                <w:sz w:val="28"/>
                <w:u w:val="none"/>
              </w:rPr>
              <w:t>:\n   -</w:t>
            </w:r>
            <w:r>
              <w:rPr>
                <w:rFonts w:ascii="Times New Roman" w:hAnsi="Times New Roman"/>
                <w:b/>
                <w:i w:val="0"/>
                <w:sz w:val="28"/>
                <w:u w:val="none"/>
              </w:rPr>
              <w:t>Sum of Interior Angles</w:t>
            </w:r>
            <w:r>
              <w:rPr>
                <w:rFonts w:ascii="Times New Roman" w:hAnsi="Times New Roman"/>
                <w:b w:val="0"/>
                <w:i w:val="0"/>
                <w:sz w:val="28"/>
                <w:u w:val="none"/>
              </w:rPr>
              <w:t>: The formula for calculating the sum of interior angles of a polygon is given by ((n-2) \times 180^\circ), where (n) is the number of sides. For example, a hexagon (6 sides) has a sum of angles as ((6-2) \times 180^\circ = 720^\circ).\n   -</w:t>
            </w:r>
            <w:r>
              <w:rPr>
                <w:rFonts w:ascii="Times New Roman" w:hAnsi="Times New Roman"/>
                <w:b/>
                <w:i w:val="0"/>
                <w:sz w:val="28"/>
                <w:u w:val="none"/>
              </w:rPr>
              <w:t>Individual Interior Angle in Regular Polygons</w:t>
            </w:r>
            <w:r>
              <w:rPr>
                <w:rFonts w:ascii="Times New Roman" w:hAnsi="Times New Roman"/>
                <w:b w:val="0"/>
                <w:i w:val="0"/>
                <w:sz w:val="28"/>
                <w:u w:val="none"/>
              </w:rPr>
              <w:t>: In a regular polygon, all interior angles are equal. The measure of each interior angle can be found by dividing the sum of the interior angles by the number of sides, i.e., (\frac{(n-2) \times 180^\circ}{n}).\n   -</w:t>
            </w:r>
            <w:r>
              <w:rPr>
                <w:rFonts w:ascii="Times New Roman" w:hAnsi="Times New Roman"/>
                <w:b/>
                <w:i w:val="0"/>
                <w:sz w:val="28"/>
                <w:u w:val="none"/>
              </w:rPr>
              <w:t>Exterior Angles</w:t>
            </w:r>
            <w:r>
              <w:rPr>
                <w:rFonts w:ascii="Times New Roman" w:hAnsi="Times New Roman"/>
                <w:b w:val="0"/>
                <w:i w:val="0"/>
                <w:sz w:val="28"/>
                <w:u w:val="none"/>
              </w:rPr>
              <w:t>: The sum of exterior angles of any polygon is always (360^\circ). In a regular polygon, each exterior angle is (\frac{360^\circ}{n}).\n\n4.</w:t>
            </w:r>
            <w:r>
              <w:rPr>
                <w:rFonts w:ascii="Times New Roman" w:hAnsi="Times New Roman"/>
                <w:b/>
                <w:i w:val="0"/>
                <w:sz w:val="28"/>
                <w:u w:val="none"/>
              </w:rPr>
              <w:t>Guided Practice</w:t>
            </w:r>
            <w:r>
              <w:rPr>
                <w:rFonts w:ascii="Times New Roman" w:hAnsi="Times New Roman"/>
                <w:b w:val="0"/>
                <w:i w:val="0"/>
                <w:sz w:val="28"/>
                <w:u w:val="none"/>
              </w:rPr>
              <w:t>:\n   -</w:t>
            </w:r>
            <w:r>
              <w:rPr>
                <w:rFonts w:ascii="Times New Roman" w:hAnsi="Times New Roman"/>
                <w:b/>
                <w:i w:val="0"/>
                <w:sz w:val="28"/>
                <w:u w:val="none"/>
              </w:rPr>
              <w:t>Activity 1</w:t>
            </w:r>
            <w:r>
              <w:rPr>
                <w:rFonts w:ascii="Times New Roman" w:hAnsi="Times New Roman"/>
                <w:b w:val="0"/>
                <w:i w:val="0"/>
                <w:sz w:val="28"/>
                <w:u w:val="none"/>
              </w:rPr>
              <w:t>: Provide students with a pentagon. Ask them to calculate the sum of its interior angles using the formula. Verify by measuring each angle.\n   -</w:t>
            </w:r>
            <w:r>
              <w:rPr>
                <w:rFonts w:ascii="Times New Roman" w:hAnsi="Times New Roman"/>
                <w:b/>
                <w:i w:val="0"/>
                <w:sz w:val="28"/>
                <w:u w:val="none"/>
              </w:rPr>
              <w:t>Activity 2</w:t>
            </w:r>
            <w:r>
              <w:rPr>
                <w:rFonts w:ascii="Times New Roman" w:hAnsi="Times New Roman"/>
                <w:b w:val="0"/>
                <w:i w:val="0"/>
                <w:sz w:val="28"/>
                <w:u w:val="none"/>
              </w:rPr>
              <w:t>: Divide students into groups and give each group a different regular polygon. They should calculate both the sum of the interior angles and the measure of each interior angle, then present their findings to the class.\n\n5.</w:t>
            </w:r>
            <w:r>
              <w:rPr>
                <w:rFonts w:ascii="Times New Roman" w:hAnsi="Times New Roman"/>
                <w:b/>
                <w:i w:val="0"/>
                <w:sz w:val="28"/>
                <w:u w:val="none"/>
              </w:rPr>
              <w:t>Independent Practice</w:t>
            </w:r>
            <w:r>
              <w:rPr>
                <w:rFonts w:ascii="Times New Roman" w:hAnsi="Times New Roman"/>
                <w:b w:val="0"/>
                <w:i w:val="0"/>
                <w:sz w:val="28"/>
                <w:u w:val="none"/>
              </w:rPr>
              <w:t>:\n   - Problem 1: Calculate the sum of the interior angles of a decagon (10 sides).\n   - Problem 2: Find the measure of one interior angle of a regular octagon (8 sides).\n   - Problem 3: A polygon has an exterior angle of (30^\circ). How many sides does this polygon have?\n\nThese exercises will reinforce their understanding and allow them to apply formulas practically.</w:t>
            </w:r>
          </w:p>
        </w:tc>
        <w:tc>
          <w:tcPr>
            <w:tcW w:type="dxa" w:w="2592"/>
          </w:tcPr>
          <w:p>
            <w:pPr>
              <w:jc w:val="both"/>
            </w:pPr>
          </w:p>
          <w:p>
            <w:pPr>
              <w:jc w:val="both"/>
            </w:pPr>
            <w:r>
              <w:rPr>
                <w:rFonts w:ascii="Times New Roman" w:hAnsi="Times New Roman"/>
                <w:b w:val="0"/>
                <w:i w:val="0"/>
                <w:sz w:val="28"/>
                <w:u w:val="none"/>
              </w:rPr>
              <w:t>Conclude the lesson by reviewing the key concepts: the sum of interior angles, individual interior angles in regular polygons, and exterior angles. Ask students to reflect on how this knowledge could be applied in real life, such as in architecture or design. Clarify any misconceptions and encourage them to explore more complex polygons.</w:t>
            </w:r>
          </w:p>
        </w:tc>
      </w:tr>
    </w:tbl>
    <w:p/>
    <w:tbl>
      <w:tblPr>
        <w:tblStyle w:val="TableGrid"/>
        <w:tblW w:type="auto" w:w="0"/>
        <w:tblLayout w:type="fixed"/>
        <w:tblLook w:firstColumn="1" w:firstRow="1" w:lastColumn="0" w:lastRow="0" w:noHBand="0" w:noVBand="1" w:val="04A0"/>
      </w:tblPr>
      <w:tblGrid>
        <w:gridCol w:w="6120"/>
        <w:gridCol w:w="6120"/>
      </w:tblGrid>
      <w:tr>
        <w:tc>
          <w:tcPr>
            <w:tcW w:type="dxa" w:w="3888"/>
            <w:vAlign w:val="center"/>
          </w:tcPr>
          <w:p>
            <w:pPr>
              <w:jc w:val="center"/>
            </w:pPr>
            <w:r>
              <w:rPr>
                <w:rFonts w:ascii="Times New Roman" w:hAnsi="Times New Roman" w:eastAsia="Times New Roman"/>
                <w:b/>
                <w:sz w:val="32"/>
              </w:rPr>
              <w:t>ASSESSMENTS</w:t>
            </w:r>
          </w:p>
        </w:tc>
        <w:tc>
          <w:tcPr>
            <w:tcW w:type="dxa" w:w="9072"/>
          </w:tcPr>
          <w:p>
            <w:pPr>
              <w:jc w:val="both"/>
            </w:pPr>
          </w:p>
          <w:p>
            <w:pPr>
              <w:jc w:val="both"/>
            </w:pPr>
          </w:p>
        </w:tc>
      </w:tr>
      <w:tr>
        <w:tc>
          <w:tcPr>
            <w:tcW w:type="dxa" w:w="3888"/>
            <w:vAlign w:val="center"/>
          </w:tcPr>
          <w:p>
            <w:pPr>
              <w:jc w:val="center"/>
            </w:pPr>
            <w:r>
              <w:rPr>
                <w:rFonts w:ascii="Times New Roman" w:hAnsi="Times New Roman" w:eastAsia="Times New Roman"/>
                <w:b/>
                <w:sz w:val="32"/>
              </w:rPr>
            </w:r>
          </w:p>
        </w:tc>
        <w:tc>
          <w:tcPr>
            <w:tcW w:type="dxa" w:w="9072"/>
          </w:tcPr>
          <w:p>
            <w:pPr>
              <w:jc w:val="both"/>
            </w:pPr>
          </w:p>
          <w:p>
            <w:pPr>
              <w:jc w:val="both"/>
            </w:pPr>
            <w:r>
              <w:rPr>
                <w:rFonts w:ascii="Times New Roman" w:hAnsi="Times New Roman"/>
                <w:b w:val="0"/>
                <w:i w:val="0"/>
                <w:sz w:val="28"/>
                <w:u w:val="none"/>
              </w:rPr>
              <w:t>Observe students during group activities and provide feedback on their calculations. Use questioning to assess understanding and clarify any errors. Provide immediate feedback during independent practice to ensure comprehension.</w:t>
            </w:r>
          </w:p>
          <w:p>
            <w:pPr>
              <w:jc w:val="both"/>
            </w:pPr>
            <w:r>
              <w:rPr>
                <w:rFonts w:ascii="Times New Roman" w:hAnsi="Times New Roman"/>
                <w:b w:val="0"/>
                <w:i w:val="0"/>
                <w:sz w:val="28"/>
                <w:u w:val="none"/>
              </w:rPr>
              <w:t>Ask students to draw a regular hexagon and calculate both the sum of its interior angles and the measure of each interior angle. Additionally, have them research a real-world application of polygons and write a short paragraph about it.</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