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 Hands-On Pipeline from Electronic Structure to Exportable Quantum Circuits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an exportable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 circuit exported to OpenQASM 3.0 and Q# — and explain every step in between. That exported circuit is a portable description, not a run-ready program: it still requires backend-specific transpilation, qubit mapping, and calibration, plus the separate state-preparation and algorithm (VQE/QPE) layers, before it yields energies on hardware.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book-length, fully executable, black-box-free pipeline from molecular integrals to exportable quantum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circuit to OpenQASM 3.0 and Q# — a portable description that still needs backend-specific transpilation, qubit mapping, and calibration —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keywords"/>
    <w:p>
      <w:pPr>
        <w:pStyle w:val="Heading2"/>
      </w:pPr>
      <w:r>
        <w:t xml:space="preserve">7. Keywords</w:t>
      </w:r>
    </w:p>
    <w:p>
      <w:pPr>
        <w:pStyle w:val="FirstParagraph"/>
      </w:pPr>
      <w:r>
        <w:t xml:space="preserve">fermion-to-qubit encoding · quantum chemistry simulation · Jordan–Wigner transform · Bravyi–Kitaev transform · qubit tapering · Trotterization · quantum circuit compilation · molecular Hamiltonian · OpenQASM · VQE (variational quantum eigensolver) · quantum resource estimation · F# / functional programming</w:t>
      </w:r>
    </w:p>
    <w:bookmarkEnd w:id="15"/>
    <w:bookmarkStart w:id="16" w:name="source-code-and-ancillary-materials"/>
    <w:p>
      <w:pPr>
        <w:pStyle w:val="Heading2"/>
      </w:pPr>
      <w:r>
        <w:t xml:space="preserve">8.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6"/>
    <w:bookmarkStart w:id="17" w:name="table-of-contents-tentative"/>
    <w:p>
      <w:pPr>
        <w:pStyle w:val="Heading2"/>
      </w:pPr>
      <w:r>
        <w:t xml:space="preserve">9.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Preface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7"/>
    <w:bookmarkStart w:id="18" w:name="estimated-length"/>
    <w:p>
      <w:pPr>
        <w:pStyle w:val="Heading2"/>
      </w:pPr>
      <w:r>
        <w:t xml:space="preserve">10.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8"/>
    <w:bookmarkStart w:id="19" w:name="competition-and-complementary-works"/>
    <w:p>
      <w:pPr>
        <w:pStyle w:val="Heading2"/>
      </w:pPr>
      <w:r>
        <w:t xml:space="preserve">11.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We are not aware of another book-length treatment that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9"/>
    <w:bookmarkStart w:id="20" w:name="why-now"/>
    <w:p>
      <w:pPr>
        <w:pStyle w:val="Heading2"/>
      </w:pPr>
      <w:r>
        <w:t xml:space="preserve">12.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20"/>
    <w:bookmarkStart w:id="21" w:name="delivery-schedule"/>
    <w:p>
      <w:pPr>
        <w:pStyle w:val="Heading2"/>
      </w:pPr>
      <w:r>
        <w:t xml:space="preserve">13. Delivery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March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confirmed by the author.</w:t>
      </w:r>
    </w:p>
    <w:bookmarkEnd w:id="21"/>
    <w:bookmarkStart w:id="22" w:name="proposed-technical-reviewers"/>
    <w:p>
      <w:pPr>
        <w:pStyle w:val="Heading2"/>
      </w:pPr>
      <w:r>
        <w:t xml:space="preserve">14.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2"/>
    <w:bookmarkStart w:id="23" w:name="apress-open-open-access"/>
    <w:p>
      <w:pPr>
        <w:pStyle w:val="Heading2"/>
      </w:pPr>
      <w:r>
        <w:t xml:space="preserve">15. Apress Open (open access)</w:t>
      </w:r>
    </w:p>
    <w:p>
      <w:pPr>
        <w:pStyle w:val="FirstParagraph"/>
      </w:pPr>
      <w:r>
        <w:t xml:space="preserve">Not at this stage; open to discussing it if institutional or sponsor funding is available. (Confirmed.)</w:t>
      </w:r>
    </w:p>
    <w:bookmarkEnd w:id="23"/>
    <w:bookmarkStart w:id="24" w:name="X92b19fc9fad47211960c52d2d3989b718a41785"/>
    <w:p>
      <w:pPr>
        <w:pStyle w:val="Heading2"/>
      </w:pPr>
      <w:r>
        <w:t xml:space="preserve">16.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2026-08-10T10:12:06Z</dcterms:created>
  <dcterms:modified xsi:type="dcterms:W3CDTF">2026-08-10T10:12:06Z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