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37403" w14:textId="6AE26EAA" w:rsidR="00850985" w:rsidRDefault="00850985" w:rsidP="00850985">
      <w:pPr>
        <w:spacing w:line="360" w:lineRule="auto"/>
        <w:jc w:val="both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Animal Fungal Treatment </w:t>
      </w:r>
      <w:r w:rsidRPr="00383B2C">
        <w:rPr>
          <w:rFonts w:ascii="Georgia" w:hAnsi="Georgia"/>
          <w:b/>
          <w:sz w:val="28"/>
          <w:szCs w:val="28"/>
        </w:rPr>
        <w:t xml:space="preserve">Market </w:t>
      </w:r>
      <w:r w:rsidR="00866603">
        <w:rPr>
          <w:rFonts w:ascii="Georgia" w:hAnsi="Georgia"/>
          <w:b/>
          <w:sz w:val="28"/>
          <w:szCs w:val="28"/>
        </w:rPr>
        <w:t>Size</w:t>
      </w:r>
    </w:p>
    <w:p w14:paraId="7A666E61" w14:textId="77777777" w:rsidR="00850985" w:rsidRDefault="00850985" w:rsidP="00850985">
      <w:pPr>
        <w:spacing w:line="360" w:lineRule="auto"/>
        <w:jc w:val="both"/>
        <w:rPr>
          <w:rFonts w:ascii="Georgia" w:hAnsi="Georgia"/>
          <w:b/>
          <w:sz w:val="28"/>
          <w:szCs w:val="28"/>
        </w:rPr>
      </w:pPr>
    </w:p>
    <w:p w14:paraId="46A57088" w14:textId="4BA1A304" w:rsidR="00850985" w:rsidRDefault="00850985" w:rsidP="00850985">
      <w:pPr>
        <w:spacing w:line="360" w:lineRule="auto"/>
        <w:jc w:val="both"/>
        <w:rPr>
          <w:rFonts w:ascii="Georgia" w:hAnsi="Georgia"/>
          <w:sz w:val="28"/>
          <w:szCs w:val="28"/>
        </w:rPr>
      </w:pPr>
      <w:r w:rsidRPr="00383B2C">
        <w:rPr>
          <w:rFonts w:ascii="Georgia" w:hAnsi="Georgia"/>
          <w:bCs/>
          <w:sz w:val="28"/>
          <w:szCs w:val="28"/>
        </w:rPr>
        <w:t>Research</w:t>
      </w:r>
      <w:r w:rsidRPr="00383B2C">
        <w:rPr>
          <w:rFonts w:ascii="Georgia" w:hAnsi="Georgia"/>
          <w:sz w:val="28"/>
          <w:szCs w:val="28"/>
        </w:rPr>
        <w:t xml:space="preserve"> Nester has released a report titled</w:t>
      </w:r>
      <w:r>
        <w:rPr>
          <w:rFonts w:ascii="Georgia" w:hAnsi="Georgia"/>
          <w:b/>
          <w:bCs/>
          <w:sz w:val="28"/>
          <w:szCs w:val="28"/>
        </w:rPr>
        <w:t xml:space="preserve"> </w:t>
      </w:r>
      <w:hyperlink r:id="rId4" w:history="1">
        <w:r w:rsidR="00866603" w:rsidRPr="00866603">
          <w:rPr>
            <w:rStyle w:val="Hyperlink"/>
            <w:rFonts w:ascii="Georgia" w:hAnsi="Georgia"/>
            <w:b/>
            <w:bCs/>
            <w:sz w:val="28"/>
            <w:szCs w:val="28"/>
          </w:rPr>
          <w:t xml:space="preserve">Animal Fungal Treatment </w:t>
        </w:r>
        <w:r w:rsidR="00866603" w:rsidRPr="00866603">
          <w:rPr>
            <w:rStyle w:val="Hyperlink"/>
            <w:rFonts w:ascii="Georgia" w:hAnsi="Georgia"/>
            <w:b/>
            <w:sz w:val="28"/>
            <w:szCs w:val="28"/>
          </w:rPr>
          <w:t>Market</w:t>
        </w:r>
      </w:hyperlink>
      <w:r w:rsidRPr="006012C8">
        <w:rPr>
          <w:rFonts w:ascii="Georgia" w:hAnsi="Georgia"/>
          <w:b/>
          <w:bCs/>
          <w:sz w:val="28"/>
          <w:szCs w:val="28"/>
        </w:rPr>
        <w:t xml:space="preserve">: </w:t>
      </w:r>
      <w:r w:rsidRPr="00A173CD">
        <w:rPr>
          <w:rFonts w:ascii="Georgia" w:hAnsi="Georgia"/>
          <w:b/>
          <w:bCs/>
          <w:sz w:val="28"/>
          <w:szCs w:val="28"/>
        </w:rPr>
        <w:t xml:space="preserve">Global </w:t>
      </w:r>
      <w:r w:rsidRPr="006012C8">
        <w:rPr>
          <w:rFonts w:ascii="Georgia" w:hAnsi="Georgia"/>
          <w:b/>
          <w:bCs/>
          <w:sz w:val="28"/>
          <w:szCs w:val="28"/>
        </w:rPr>
        <w:t>Demand Analysis &amp; Opportunity Outlook 20</w:t>
      </w:r>
      <w:r>
        <w:rPr>
          <w:rFonts w:ascii="Georgia" w:hAnsi="Georgia"/>
          <w:b/>
          <w:bCs/>
          <w:sz w:val="28"/>
          <w:szCs w:val="28"/>
        </w:rPr>
        <w:t>3</w:t>
      </w:r>
      <w:r w:rsidR="00B658A1">
        <w:rPr>
          <w:rFonts w:ascii="Georgia" w:hAnsi="Georgia"/>
          <w:b/>
          <w:bCs/>
          <w:sz w:val="28"/>
          <w:szCs w:val="28"/>
        </w:rPr>
        <w:t>7</w:t>
      </w:r>
      <w:r w:rsidRPr="006012C8">
        <w:rPr>
          <w:rFonts w:ascii="Georgia" w:hAnsi="Georgia"/>
          <w:b/>
          <w:sz w:val="28"/>
          <w:szCs w:val="28"/>
        </w:rPr>
        <w:t>”</w:t>
      </w:r>
      <w:r w:rsidRPr="00383B2C">
        <w:rPr>
          <w:rFonts w:ascii="Georgia" w:hAnsi="Georgia"/>
          <w:b/>
          <w:sz w:val="28"/>
          <w:szCs w:val="28"/>
        </w:rPr>
        <w:t xml:space="preserve"> </w:t>
      </w:r>
      <w:r w:rsidRPr="00383B2C">
        <w:rPr>
          <w:rFonts w:ascii="Georgia" w:hAnsi="Georgia"/>
          <w:sz w:val="28"/>
          <w:szCs w:val="28"/>
        </w:rPr>
        <w:t xml:space="preserve">which also includes some of the prominent market analyzing parameters such as industry growth drivers, restraints, supply and demand risk, along with the impact of COVID-19 and a detailed discussion on the latest trends and future opportunities that are associated with the growth of the market. </w:t>
      </w:r>
      <w:r>
        <w:rPr>
          <w:rFonts w:ascii="Georgia" w:hAnsi="Georgia"/>
          <w:sz w:val="28"/>
          <w:szCs w:val="28"/>
        </w:rPr>
        <w:t xml:space="preserve"> </w:t>
      </w:r>
    </w:p>
    <w:p w14:paraId="53DADD75" w14:textId="77777777" w:rsidR="00850985" w:rsidRDefault="00850985" w:rsidP="00850985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14:paraId="0E6EB95C" w14:textId="6408BFC3" w:rsidR="00850985" w:rsidRDefault="00850985" w:rsidP="00850985">
      <w:pPr>
        <w:spacing w:line="360" w:lineRule="auto"/>
        <w:jc w:val="both"/>
        <w:rPr>
          <w:rFonts w:ascii="Georgia" w:hAnsi="Georgia"/>
          <w:b/>
          <w:bCs/>
          <w:i/>
          <w:iCs/>
          <w:sz w:val="28"/>
          <w:szCs w:val="28"/>
        </w:rPr>
      </w:pPr>
      <w:r w:rsidRPr="00183654">
        <w:rPr>
          <w:rFonts w:ascii="Georgia" w:hAnsi="Georgia"/>
          <w:b/>
          <w:bCs/>
          <w:i/>
          <w:iCs/>
          <w:sz w:val="28"/>
          <w:szCs w:val="28"/>
        </w:rPr>
        <w:t xml:space="preserve">Surging Growth </w:t>
      </w:r>
      <w:r w:rsidR="0020223A">
        <w:rPr>
          <w:rFonts w:ascii="Georgia" w:hAnsi="Georgia"/>
          <w:b/>
          <w:bCs/>
          <w:i/>
          <w:iCs/>
          <w:sz w:val="28"/>
          <w:szCs w:val="28"/>
        </w:rPr>
        <w:t xml:space="preserve">Owing to Escalating Support by Government </w:t>
      </w:r>
      <w:r w:rsidRPr="00183654">
        <w:rPr>
          <w:rFonts w:ascii="Georgia" w:hAnsi="Georgia"/>
          <w:b/>
          <w:bCs/>
          <w:i/>
          <w:iCs/>
          <w:sz w:val="28"/>
          <w:szCs w:val="28"/>
        </w:rPr>
        <w:t>Sector</w:t>
      </w:r>
      <w:r>
        <w:rPr>
          <w:rFonts w:ascii="Georgia" w:hAnsi="Georgia"/>
          <w:b/>
          <w:bCs/>
          <w:i/>
          <w:iCs/>
          <w:sz w:val="28"/>
          <w:szCs w:val="28"/>
        </w:rPr>
        <w:t xml:space="preserve"> to Boost the Growth of Global</w:t>
      </w:r>
      <w:r w:rsidR="008E1ED3">
        <w:rPr>
          <w:rFonts w:ascii="Georgia" w:hAnsi="Georgia"/>
          <w:b/>
          <w:bCs/>
          <w:i/>
          <w:iCs/>
          <w:sz w:val="28"/>
          <w:szCs w:val="28"/>
        </w:rPr>
        <w:t xml:space="preserve"> Animal Fungal Treatment</w:t>
      </w:r>
      <w:r>
        <w:rPr>
          <w:rFonts w:ascii="Georgia" w:hAnsi="Georgia"/>
          <w:b/>
          <w:bCs/>
          <w:i/>
          <w:iCs/>
          <w:sz w:val="28"/>
          <w:szCs w:val="28"/>
        </w:rPr>
        <w:t xml:space="preserve"> Market </w:t>
      </w:r>
    </w:p>
    <w:p w14:paraId="302AF4DA" w14:textId="12F7BEAD" w:rsidR="00850985" w:rsidRDefault="00850985" w:rsidP="00850985">
      <w:pPr>
        <w:spacing w:line="36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The global </w:t>
      </w:r>
      <w:r w:rsidR="0020223A">
        <w:rPr>
          <w:rFonts w:ascii="Georgia" w:hAnsi="Georgia"/>
          <w:sz w:val="28"/>
          <w:szCs w:val="28"/>
        </w:rPr>
        <w:t xml:space="preserve">animal fungal treatment </w:t>
      </w:r>
      <w:r>
        <w:rPr>
          <w:rFonts w:ascii="Georgia" w:hAnsi="Georgia"/>
          <w:sz w:val="28"/>
          <w:szCs w:val="28"/>
        </w:rPr>
        <w:t xml:space="preserve">market is set to rise on account of growing </w:t>
      </w:r>
      <w:r w:rsidR="0020223A">
        <w:rPr>
          <w:rFonts w:ascii="Georgia" w:hAnsi="Georgia"/>
          <w:sz w:val="28"/>
          <w:szCs w:val="28"/>
        </w:rPr>
        <w:t xml:space="preserve">support </w:t>
      </w:r>
      <w:r w:rsidR="001565A0">
        <w:rPr>
          <w:rFonts w:ascii="Georgia" w:hAnsi="Georgia"/>
          <w:sz w:val="28"/>
          <w:szCs w:val="28"/>
        </w:rPr>
        <w:t>from</w:t>
      </w:r>
      <w:r w:rsidR="0020223A">
        <w:rPr>
          <w:rFonts w:ascii="Georgia" w:hAnsi="Georgia"/>
          <w:sz w:val="28"/>
          <w:szCs w:val="28"/>
        </w:rPr>
        <w:t xml:space="preserve"> the government. </w:t>
      </w:r>
      <w:r w:rsidR="0020223A" w:rsidRPr="0020223A">
        <w:rPr>
          <w:rFonts w:ascii="Georgia" w:hAnsi="Georgia"/>
          <w:sz w:val="28"/>
          <w:szCs w:val="28"/>
        </w:rPr>
        <w:t xml:space="preserve">The Government </w:t>
      </w:r>
      <w:proofErr w:type="spellStart"/>
      <w:r w:rsidR="0020223A" w:rsidRPr="0020223A">
        <w:rPr>
          <w:rFonts w:ascii="Georgia" w:hAnsi="Georgia"/>
          <w:sz w:val="28"/>
          <w:szCs w:val="28"/>
        </w:rPr>
        <w:t>Programme</w:t>
      </w:r>
      <w:proofErr w:type="spellEnd"/>
      <w:r w:rsidR="0020223A" w:rsidRPr="0020223A">
        <w:rPr>
          <w:rFonts w:ascii="Georgia" w:hAnsi="Georgia"/>
          <w:sz w:val="28"/>
          <w:szCs w:val="28"/>
        </w:rPr>
        <w:t xml:space="preserve"> aims to create new and better concepts addressing the underlying issues, which will lead to sustainable solutions for animal health and </w:t>
      </w:r>
      <w:r w:rsidR="001565A0">
        <w:rPr>
          <w:rFonts w:ascii="Georgia" w:hAnsi="Georgia"/>
          <w:sz w:val="28"/>
          <w:szCs w:val="28"/>
        </w:rPr>
        <w:t>well-being</w:t>
      </w:r>
      <w:r w:rsidR="0020223A" w:rsidRPr="0020223A">
        <w:rPr>
          <w:rFonts w:ascii="Georgia" w:hAnsi="Georgia"/>
          <w:sz w:val="28"/>
          <w:szCs w:val="28"/>
        </w:rPr>
        <w:t xml:space="preserve"> </w:t>
      </w:r>
      <w:r w:rsidR="001565A0">
        <w:rPr>
          <w:rFonts w:ascii="Georgia" w:hAnsi="Georgia"/>
          <w:sz w:val="28"/>
          <w:szCs w:val="28"/>
        </w:rPr>
        <w:t>to increase</w:t>
      </w:r>
      <w:r w:rsidR="0020223A" w:rsidRPr="0020223A">
        <w:rPr>
          <w:rFonts w:ascii="Georgia" w:hAnsi="Georgia"/>
          <w:sz w:val="28"/>
          <w:szCs w:val="28"/>
        </w:rPr>
        <w:t xml:space="preserve"> links among different communities and industries that drive the market for veterinary fungal treatment of animals. </w:t>
      </w:r>
    </w:p>
    <w:p w14:paraId="455AADBE" w14:textId="471B680C" w:rsidR="00866603" w:rsidRDefault="00866603" w:rsidP="00850985">
      <w:pPr>
        <w:spacing w:line="360" w:lineRule="auto"/>
        <w:jc w:val="both"/>
        <w:rPr>
          <w:rFonts w:ascii="Georgia" w:hAnsi="Georgia"/>
          <w:sz w:val="28"/>
          <w:szCs w:val="28"/>
        </w:rPr>
      </w:pPr>
      <w:r w:rsidRPr="00866603">
        <w:rPr>
          <w:rFonts w:ascii="Georgia" w:hAnsi="Georgia"/>
          <w:b/>
          <w:sz w:val="28"/>
          <w:szCs w:val="28"/>
        </w:rPr>
        <w:t>Sample Request Report:</w:t>
      </w:r>
      <w:r>
        <w:rPr>
          <w:rFonts w:ascii="Georgia" w:hAnsi="Georgia"/>
          <w:sz w:val="28"/>
          <w:szCs w:val="28"/>
        </w:rPr>
        <w:t xml:space="preserve"> </w:t>
      </w:r>
      <w:r w:rsidRPr="00866603">
        <w:rPr>
          <w:rFonts w:ascii="Georgia" w:hAnsi="Georgia"/>
          <w:sz w:val="28"/>
          <w:szCs w:val="28"/>
        </w:rPr>
        <w:t>https://www.researchnester.com/sample-request-3130</w:t>
      </w:r>
      <w:bookmarkStart w:id="0" w:name="_GoBack"/>
      <w:bookmarkEnd w:id="0"/>
    </w:p>
    <w:p w14:paraId="7B000A9C" w14:textId="20927C60" w:rsidR="00850985" w:rsidRDefault="00850985" w:rsidP="001565A0">
      <w:pPr>
        <w:spacing w:line="36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By </w:t>
      </w:r>
      <w:r w:rsidR="0020223A">
        <w:rPr>
          <w:rFonts w:ascii="Georgia" w:hAnsi="Georgia"/>
          <w:sz w:val="28"/>
          <w:szCs w:val="28"/>
        </w:rPr>
        <w:t>route of administration</w:t>
      </w:r>
      <w:r>
        <w:rPr>
          <w:rFonts w:ascii="Georgia" w:hAnsi="Georgia"/>
          <w:sz w:val="28"/>
          <w:szCs w:val="28"/>
        </w:rPr>
        <w:t>, the sector for</w:t>
      </w:r>
      <w:r w:rsidR="0020223A">
        <w:rPr>
          <w:rFonts w:ascii="Georgia" w:hAnsi="Georgia"/>
          <w:sz w:val="28"/>
          <w:szCs w:val="28"/>
        </w:rPr>
        <w:t xml:space="preserve"> anima; fungal treatment</w:t>
      </w:r>
      <w:r>
        <w:rPr>
          <w:rFonts w:ascii="Georgia" w:hAnsi="Georgia"/>
          <w:sz w:val="28"/>
          <w:szCs w:val="28"/>
        </w:rPr>
        <w:t xml:space="preserve"> is segmented into </w:t>
      </w:r>
      <w:r w:rsidR="0020223A">
        <w:rPr>
          <w:rFonts w:ascii="Georgia" w:hAnsi="Georgia"/>
          <w:sz w:val="28"/>
          <w:szCs w:val="28"/>
        </w:rPr>
        <w:t>oral, parental, and topical</w:t>
      </w:r>
      <w:r>
        <w:rPr>
          <w:rFonts w:ascii="Georgia" w:hAnsi="Georgia"/>
          <w:sz w:val="28"/>
          <w:szCs w:val="28"/>
        </w:rPr>
        <w:t xml:space="preserve">. Amongst these segments, the </w:t>
      </w:r>
      <w:r w:rsidR="0020223A">
        <w:rPr>
          <w:rFonts w:ascii="Georgia" w:hAnsi="Georgia"/>
          <w:sz w:val="28"/>
          <w:szCs w:val="28"/>
        </w:rPr>
        <w:t>oral</w:t>
      </w:r>
      <w:r>
        <w:rPr>
          <w:rFonts w:ascii="Georgia" w:hAnsi="Georgia"/>
          <w:sz w:val="28"/>
          <w:szCs w:val="28"/>
        </w:rPr>
        <w:t xml:space="preserve"> segment is predicted to capture the largest market revenue of USD </w:t>
      </w:r>
      <w:r w:rsidR="0020223A">
        <w:rPr>
          <w:rFonts w:ascii="Georgia" w:hAnsi="Georgia"/>
          <w:sz w:val="28"/>
          <w:szCs w:val="28"/>
        </w:rPr>
        <w:t>1.28</w:t>
      </w:r>
      <w:r>
        <w:rPr>
          <w:rFonts w:ascii="Georgia" w:hAnsi="Georgia"/>
          <w:sz w:val="28"/>
          <w:szCs w:val="28"/>
        </w:rPr>
        <w:t xml:space="preserve"> billion by the end of 203</w:t>
      </w:r>
      <w:r w:rsidR="0020223A">
        <w:rPr>
          <w:rFonts w:ascii="Georgia" w:hAnsi="Georgia"/>
          <w:sz w:val="28"/>
          <w:szCs w:val="28"/>
        </w:rPr>
        <w:t>7</w:t>
      </w:r>
      <w:r>
        <w:rPr>
          <w:rFonts w:ascii="Georgia" w:hAnsi="Georgia"/>
          <w:sz w:val="28"/>
          <w:szCs w:val="28"/>
        </w:rPr>
        <w:t xml:space="preserve">. </w:t>
      </w:r>
      <w:r w:rsidR="004E782E" w:rsidRPr="004E782E">
        <w:rPr>
          <w:rFonts w:ascii="Georgia" w:hAnsi="Georgia"/>
          <w:sz w:val="28"/>
          <w:szCs w:val="28"/>
        </w:rPr>
        <w:t xml:space="preserve">Compared to injections or topical treatments, the administration of </w:t>
      </w:r>
      <w:r w:rsidR="001565A0">
        <w:rPr>
          <w:rFonts w:ascii="Georgia" w:hAnsi="Georgia"/>
          <w:sz w:val="28"/>
          <w:szCs w:val="28"/>
        </w:rPr>
        <w:t>oral</w:t>
      </w:r>
      <w:r w:rsidR="004E782E" w:rsidRPr="004E782E">
        <w:rPr>
          <w:rFonts w:ascii="Georgia" w:hAnsi="Georgia"/>
          <w:sz w:val="28"/>
          <w:szCs w:val="28"/>
        </w:rPr>
        <w:t xml:space="preserve"> is easier and less burdensome for both animals and their owners. They also offer flexibility in dosage </w:t>
      </w:r>
      <w:r w:rsidR="004E782E" w:rsidRPr="004E782E">
        <w:rPr>
          <w:rFonts w:ascii="Georgia" w:hAnsi="Georgia"/>
          <w:sz w:val="28"/>
          <w:szCs w:val="28"/>
        </w:rPr>
        <w:lastRenderedPageBreak/>
        <w:t>strength and ease of administration, as well as a good way for large animals to chew, crush</w:t>
      </w:r>
      <w:r w:rsidR="001565A0">
        <w:rPr>
          <w:rFonts w:ascii="Georgia" w:hAnsi="Georgia"/>
          <w:sz w:val="28"/>
          <w:szCs w:val="28"/>
        </w:rPr>
        <w:t>,</w:t>
      </w:r>
      <w:r w:rsidR="004E782E" w:rsidRPr="004E782E">
        <w:rPr>
          <w:rFonts w:ascii="Georgia" w:hAnsi="Georgia"/>
          <w:sz w:val="28"/>
          <w:szCs w:val="28"/>
        </w:rPr>
        <w:t xml:space="preserve"> or blend with animal feedstuffs when considering tablet formulation.</w:t>
      </w:r>
    </w:p>
    <w:p w14:paraId="4BA40473" w14:textId="77777777" w:rsidR="00850985" w:rsidRDefault="00850985" w:rsidP="00850985">
      <w:pPr>
        <w:spacing w:line="360" w:lineRule="auto"/>
        <w:rPr>
          <w:rFonts w:ascii="Georgia" w:hAnsi="Georgia"/>
          <w:sz w:val="28"/>
          <w:szCs w:val="28"/>
        </w:rPr>
      </w:pPr>
    </w:p>
    <w:p w14:paraId="359A3210" w14:textId="5698E81E" w:rsidR="00850985" w:rsidRPr="00866603" w:rsidRDefault="00850985" w:rsidP="00866603">
      <w:pPr>
        <w:spacing w:line="360" w:lineRule="auto"/>
        <w:jc w:val="both"/>
        <w:rPr>
          <w:rFonts w:ascii="Georgia" w:hAnsi="Georgia"/>
          <w:sz w:val="28"/>
        </w:rPr>
      </w:pPr>
      <w:r>
        <w:rPr>
          <w:rFonts w:ascii="Georgia" w:hAnsi="Georgia"/>
          <w:sz w:val="28"/>
          <w:szCs w:val="28"/>
        </w:rPr>
        <w:t xml:space="preserve">By region, the </w:t>
      </w:r>
      <w:r w:rsidR="004E782E">
        <w:rPr>
          <w:rFonts w:ascii="Georgia" w:hAnsi="Georgia"/>
          <w:sz w:val="28"/>
          <w:szCs w:val="28"/>
        </w:rPr>
        <w:t>North America</w:t>
      </w:r>
      <w:r>
        <w:rPr>
          <w:rFonts w:ascii="Georgia" w:hAnsi="Georgia"/>
          <w:sz w:val="28"/>
          <w:szCs w:val="28"/>
        </w:rPr>
        <w:t xml:space="preserve"> region is set to grow at the highest CAGR of </w:t>
      </w:r>
      <w:r w:rsidR="004E782E">
        <w:rPr>
          <w:rFonts w:ascii="Georgia" w:hAnsi="Georgia"/>
          <w:sz w:val="28"/>
          <w:szCs w:val="28"/>
        </w:rPr>
        <w:t>6.7</w:t>
      </w:r>
      <w:r>
        <w:rPr>
          <w:rFonts w:ascii="Georgia" w:hAnsi="Georgia"/>
          <w:sz w:val="28"/>
          <w:szCs w:val="28"/>
        </w:rPr>
        <w:t xml:space="preserve">2% over the coming years. </w:t>
      </w:r>
      <w:r w:rsidR="004E782E" w:rsidRPr="004E782E">
        <w:rPr>
          <w:rFonts w:ascii="Georgia" w:hAnsi="Georgia"/>
          <w:sz w:val="28"/>
        </w:rPr>
        <w:t>According to estimates, the North America market is expected to be the largest revenue generator over the next few years due to a regional trend of increasing pet adoption rates and spending which will further fuel demand for animal fungal treatment during the forecast period.</w:t>
      </w:r>
      <w:r w:rsidR="004E782E">
        <w:rPr>
          <w:rFonts w:ascii="Georgia" w:hAnsi="Georgia"/>
          <w:sz w:val="28"/>
        </w:rPr>
        <w:t xml:space="preserve"> </w:t>
      </w:r>
    </w:p>
    <w:p w14:paraId="7B84F699" w14:textId="430DA229" w:rsidR="00850985" w:rsidRPr="00866603" w:rsidRDefault="00850985" w:rsidP="00866603">
      <w:pPr>
        <w:shd w:val="clear" w:color="auto" w:fill="FFFFFF"/>
        <w:spacing w:before="100" w:beforeAutospacing="1" w:line="360" w:lineRule="auto"/>
        <w:jc w:val="both"/>
        <w:rPr>
          <w:rFonts w:ascii="Georgia" w:hAnsi="Georgia"/>
          <w:sz w:val="28"/>
        </w:rPr>
      </w:pPr>
      <w:r>
        <w:rPr>
          <w:rStyle w:val="normaltextrun"/>
          <w:rFonts w:ascii="Georgia" w:hAnsi="Georgia"/>
          <w:color w:val="000000"/>
          <w:sz w:val="28"/>
          <w:szCs w:val="28"/>
          <w:shd w:val="clear" w:color="auto" w:fill="FFFFFF"/>
        </w:rPr>
        <w:t xml:space="preserve">This report also provides the existing competitive scenario of some of the key players of the global </w:t>
      </w:r>
      <w:r w:rsidR="004E782E">
        <w:rPr>
          <w:rStyle w:val="normaltextrun"/>
          <w:rFonts w:ascii="Georgia" w:hAnsi="Georgia"/>
          <w:color w:val="000000"/>
          <w:sz w:val="28"/>
          <w:szCs w:val="28"/>
          <w:shd w:val="clear" w:color="auto" w:fill="FFFFFF"/>
        </w:rPr>
        <w:t xml:space="preserve">animal fungal treatment </w:t>
      </w:r>
      <w:r>
        <w:rPr>
          <w:rStyle w:val="normaltextrun"/>
          <w:rFonts w:ascii="Georgia" w:hAnsi="Georgia"/>
          <w:color w:val="000000"/>
          <w:sz w:val="28"/>
          <w:szCs w:val="28"/>
          <w:shd w:val="clear" w:color="auto" w:fill="FFFFFF"/>
        </w:rPr>
        <w:t xml:space="preserve">market which includes company profiling of </w:t>
      </w:r>
      <w:bookmarkStart w:id="1" w:name="_Hlk162033093"/>
      <w:proofErr w:type="spellStart"/>
      <w:r w:rsidR="004E782E" w:rsidRPr="001A6538">
        <w:rPr>
          <w:rFonts w:ascii="Georgia" w:hAnsi="Georgia"/>
          <w:sz w:val="28"/>
          <w:szCs w:val="28"/>
        </w:rPr>
        <w:t>Neogen</w:t>
      </w:r>
      <w:proofErr w:type="spellEnd"/>
      <w:r w:rsidR="004E782E" w:rsidRPr="001A6538">
        <w:rPr>
          <w:rFonts w:ascii="Georgia" w:hAnsi="Georgia"/>
          <w:sz w:val="28"/>
          <w:szCs w:val="28"/>
        </w:rPr>
        <w:t xml:space="preserve"> Corporation</w:t>
      </w:r>
      <w:r w:rsidR="004E782E">
        <w:rPr>
          <w:rFonts w:ascii="Georgia" w:hAnsi="Georgia"/>
          <w:sz w:val="28"/>
          <w:szCs w:val="28"/>
        </w:rPr>
        <w:t xml:space="preserve">, </w:t>
      </w:r>
      <w:r w:rsidR="004E782E" w:rsidRPr="001A6538">
        <w:rPr>
          <w:rFonts w:ascii="Georgia" w:hAnsi="Georgia"/>
          <w:sz w:val="28"/>
          <w:szCs w:val="28"/>
        </w:rPr>
        <w:t>MP AGRO CO., LTD.</w:t>
      </w:r>
      <w:r w:rsidR="004E782E">
        <w:rPr>
          <w:rFonts w:ascii="Georgia" w:hAnsi="Georgia"/>
          <w:sz w:val="28"/>
          <w:szCs w:val="28"/>
        </w:rPr>
        <w:t xml:space="preserve">, </w:t>
      </w:r>
      <w:r w:rsidR="004E782E" w:rsidRPr="001A6538">
        <w:rPr>
          <w:rFonts w:ascii="Georgia" w:hAnsi="Georgia"/>
          <w:sz w:val="28"/>
          <w:szCs w:val="28"/>
        </w:rPr>
        <w:t xml:space="preserve">NIHON NOHYAKU </w:t>
      </w:r>
      <w:proofErr w:type="gramStart"/>
      <w:r w:rsidR="004E782E" w:rsidRPr="001A6538">
        <w:rPr>
          <w:rFonts w:ascii="Georgia" w:hAnsi="Georgia"/>
          <w:sz w:val="28"/>
          <w:szCs w:val="28"/>
        </w:rPr>
        <w:t>CO.,LTD.</w:t>
      </w:r>
      <w:proofErr w:type="gramEnd"/>
      <w:r w:rsidR="004E782E">
        <w:rPr>
          <w:rFonts w:ascii="Georgia" w:hAnsi="Georgia"/>
          <w:sz w:val="28"/>
          <w:szCs w:val="28"/>
        </w:rPr>
        <w:t xml:space="preserve">, </w:t>
      </w:r>
      <w:proofErr w:type="spellStart"/>
      <w:r w:rsidR="004E782E" w:rsidRPr="001A6538">
        <w:rPr>
          <w:rFonts w:ascii="Georgia" w:hAnsi="Georgia"/>
          <w:sz w:val="28"/>
          <w:szCs w:val="28"/>
        </w:rPr>
        <w:t>SynergyLabs</w:t>
      </w:r>
      <w:proofErr w:type="spellEnd"/>
      <w:r w:rsidR="004E782E">
        <w:rPr>
          <w:rFonts w:ascii="Georgia" w:hAnsi="Georgia"/>
          <w:sz w:val="28"/>
          <w:szCs w:val="28"/>
        </w:rPr>
        <w:t xml:space="preserve">, </w:t>
      </w:r>
      <w:r w:rsidR="004E782E" w:rsidRPr="001A6538">
        <w:rPr>
          <w:rFonts w:ascii="Georgia" w:hAnsi="Georgia"/>
          <w:sz w:val="28"/>
          <w:szCs w:val="28"/>
        </w:rPr>
        <w:tab/>
      </w:r>
      <w:proofErr w:type="spellStart"/>
      <w:r w:rsidR="004E782E" w:rsidRPr="001A6538">
        <w:rPr>
          <w:rFonts w:ascii="Georgia" w:hAnsi="Georgia"/>
          <w:sz w:val="28"/>
          <w:szCs w:val="28"/>
        </w:rPr>
        <w:t>Dechra</w:t>
      </w:r>
      <w:proofErr w:type="spellEnd"/>
      <w:r w:rsidR="004E782E" w:rsidRPr="001A6538">
        <w:rPr>
          <w:rFonts w:ascii="Georgia" w:hAnsi="Georgia"/>
          <w:sz w:val="28"/>
          <w:szCs w:val="28"/>
        </w:rPr>
        <w:t xml:space="preserve"> Pharmaceuticals</w:t>
      </w:r>
      <w:r w:rsidR="004E782E">
        <w:rPr>
          <w:rFonts w:ascii="Georgia" w:hAnsi="Georgia"/>
          <w:sz w:val="28"/>
          <w:szCs w:val="28"/>
        </w:rPr>
        <w:t xml:space="preserve">, </w:t>
      </w:r>
      <w:proofErr w:type="spellStart"/>
      <w:r w:rsidR="004E782E" w:rsidRPr="001A6538">
        <w:rPr>
          <w:rFonts w:ascii="Georgia" w:hAnsi="Georgia"/>
          <w:sz w:val="28"/>
          <w:szCs w:val="28"/>
        </w:rPr>
        <w:t>Vetoquinol</w:t>
      </w:r>
      <w:bookmarkEnd w:id="1"/>
      <w:proofErr w:type="spellEnd"/>
      <w:r w:rsidR="004E782E">
        <w:rPr>
          <w:rFonts w:ascii="Georgia" w:hAnsi="Georgia"/>
          <w:sz w:val="28"/>
        </w:rPr>
        <w:t xml:space="preserve">, </w:t>
      </w:r>
      <w:r>
        <w:rPr>
          <w:rFonts w:ascii="Georgia" w:hAnsi="Georgia"/>
          <w:sz w:val="28"/>
        </w:rPr>
        <w:t xml:space="preserve">and others. </w:t>
      </w:r>
    </w:p>
    <w:p w14:paraId="736C8A73" w14:textId="77777777" w:rsidR="00850985" w:rsidRDefault="00850985"/>
    <w:sectPr w:rsidR="00850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85"/>
    <w:rsid w:val="001565A0"/>
    <w:rsid w:val="0020223A"/>
    <w:rsid w:val="004E782E"/>
    <w:rsid w:val="005A7947"/>
    <w:rsid w:val="00850985"/>
    <w:rsid w:val="00866603"/>
    <w:rsid w:val="008E1ED3"/>
    <w:rsid w:val="00B658A1"/>
    <w:rsid w:val="00D8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AC3EC"/>
  <w15:chartTrackingRefBased/>
  <w15:docId w15:val="{5458133D-8272-47AB-9F7C-312E18FD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0985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50985"/>
  </w:style>
  <w:style w:type="character" w:customStyle="1" w:styleId="eop">
    <w:name w:val="eop"/>
    <w:basedOn w:val="DefaultParagraphFont"/>
    <w:rsid w:val="00850985"/>
  </w:style>
  <w:style w:type="paragraph" w:customStyle="1" w:styleId="paragraph">
    <w:name w:val="paragraph"/>
    <w:basedOn w:val="Normal"/>
    <w:rsid w:val="0085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6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searchnester.com/reports/animal-fungal-treatment-market/31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RNPL</dc:creator>
  <cp:keywords/>
  <dc:description/>
  <cp:lastModifiedBy>Nikhil Kumar</cp:lastModifiedBy>
  <cp:revision>2</cp:revision>
  <dcterms:created xsi:type="dcterms:W3CDTF">2024-05-28T11:53:00Z</dcterms:created>
  <dcterms:modified xsi:type="dcterms:W3CDTF">2024-05-28T11:53:00Z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b90d000f13bef068a971c9f64b26f48a1fe57582d7a60f049b98531413a256bf</vt:lpwstr>
  </property>
</Properties>
</file>