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cfc8a637a7548812a20af11654ae7d0e5ea8bc"/>
    <w:p>
      <w:pPr>
        <w:pStyle w:val="Heading1"/>
      </w:pPr>
      <w:r>
        <w:t xml:space="preserve">Brittco Capital Inc — Transactional funding term sheet</w:t>
      </w:r>
    </w:p>
    <w:p>
      <w:pPr>
        <w:pStyle w:val="FirstParagraph"/>
      </w:pPr>
      <w:r>
        <w:rPr>
          <w:bCs/>
          <w:b/>
        </w:rPr>
        <w:t xml:space="preserve">Loan number:</w:t>
      </w:r>
      <w:r>
        <w:t xml:space="preserve"> </w:t>
      </w:r>
      <w:r>
        <w:t xml:space="preserve">BC-TX-10W96</w:t>
      </w:r>
      <w:r>
        <w:br/>
      </w:r>
      <w:r>
        <w:rPr>
          <w:bCs/>
          <w:b/>
        </w:rPr>
        <w:t xml:space="preserve">Effective / fund date:</w:t>
      </w:r>
      <w:r>
        <w:t xml:space="preserve"> </w:t>
      </w:r>
      <w:r>
        <w:t xml:space="preserve">September 9, 2026</w:t>
      </w:r>
      <w:r>
        <w:br/>
      </w:r>
      <w:r>
        <w:rPr>
          <w:bCs/>
          <w:b/>
        </w:rPr>
        <w:t xml:space="preserve">Maturity (4 business days):</w:t>
      </w:r>
      <w:r>
        <w:t xml:space="preserve"> </w:t>
      </w:r>
      <w:r>
        <w:t xml:space="preserve">September 15, 2026</w:t>
      </w:r>
      <w:r>
        <w:br/>
      </w:r>
      <w:r>
        <w:rPr>
          <w:bCs/>
          <w:b/>
        </w:rPr>
        <w:t xml:space="preserve">Outside date if not extended in writing:</w:t>
      </w:r>
      <w:r>
        <w:t xml:space="preserve"> </w:t>
      </w:r>
      <w:r>
        <w:t xml:space="preserve">September 22, 2026</w:t>
      </w:r>
    </w:p>
    <w:bookmarkStart w:id="20" w:name="parties"/>
    <w:p>
      <w:pPr>
        <w:pStyle w:val="Heading2"/>
      </w:pPr>
      <w:r>
        <w:t xml:space="preserve">Parties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Lender / beneficiary:</w:t>
      </w:r>
      <w:r>
        <w:t xml:space="preserve"> </w:t>
      </w:r>
      <w:r>
        <w:t xml:space="preserve">Brittco Capital, Inc., a Florida corporation, 4825 Vasca Drive, Sarasota, FL 34240. Phone (816) 694-1658. John Britton, President.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Funding investor (100%):</w:t>
      </w:r>
      <w:r>
        <w:t xml:space="preserve"> </w:t>
      </w:r>
      <w:r>
        <w:t xml:space="preserve">John Britton, through Brittco Capital Inc.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Borrower:</w:t>
      </w:r>
      <w:r>
        <w:t xml:space="preserve"> </w:t>
      </w:r>
      <w:r>
        <w:t xml:space="preserve">Crossley Innovations LLC, Missouri LLC (LC001473179 / EIN 81-0816617), 8433 N Donnelly Court, Kansas City, MO 64157.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Authorized signer and personal guarantor:</w:t>
      </w:r>
      <w:r>
        <w:t xml:space="preserve"> </w:t>
      </w:r>
      <w:r>
        <w:t xml:space="preserve">Katherine Marie Crossley, Managing Member, same address, 913-219-2792, kate.crossley@gmail.com.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Trustee:</w:t>
      </w:r>
      <w:r>
        <w:t xml:space="preserve"> </w:t>
      </w:r>
      <w:r>
        <w:t xml:space="preserve">Security Land &amp; Title, 14111 S Mur-Len Road, Olathe, KS 66062 (Amy Parkhurst; file 612389-SLT-MO).</w:t>
      </w:r>
    </w:p>
    <w:bookmarkEnd w:id="20"/>
    <w:bookmarkStart w:id="21" w:name="collateral"/>
    <w:p>
      <w:pPr>
        <w:pStyle w:val="Heading2"/>
      </w:pPr>
      <w:r>
        <w:t xml:space="preserve">Collateral</w:t>
      </w:r>
    </w:p>
    <w:p>
      <w:pPr>
        <w:pStyle w:val="FirstParagraph"/>
      </w:pPr>
      <w:r>
        <w:t xml:space="preserve">10 W 96th Terrace, Kansas City, Jackson County, MO 64114</w:t>
      </w:r>
      <w:r>
        <w:br/>
      </w:r>
      <w:r>
        <w:t xml:space="preserve">Legal (from borrower intake; confirm on title commitment before recording): E 30 FT LOT 42 &amp; W 60 FT LOT 43, BROADVIEW HEIGHTS.</w:t>
      </w:r>
    </w:p>
    <w:bookmarkEnd w:id="21"/>
    <w:bookmarkStart w:id="22" w:name="structure"/>
    <w:p>
      <w:pPr>
        <w:pStyle w:val="Heading2"/>
      </w:pPr>
      <w:r>
        <w:t xml:space="preserve">Structure</w:t>
      </w:r>
    </w:p>
    <w:p>
      <w:pPr>
        <w:pStyle w:val="FirstParagraph"/>
      </w:pPr>
      <w:r>
        <w:t xml:space="preserve">Same-day or sequential double close (A-B then B-C) at Security Land &amp; Title.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A-B:</w:t>
      </w:r>
      <w:r>
        <w:t xml:space="preserve"> </w:t>
      </w:r>
      <w:r>
        <w:t xml:space="preserve">Joshua Richard Ludwig and Jamie Elizabeth Ludwig to Crossley Innovations LLC — $180,000. Scheduled on or about September 9, 2026.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B-C:</w:t>
      </w:r>
      <w:r>
        <w:t xml:space="preserve"> </w:t>
      </w:r>
      <w:r>
        <w:t xml:space="preserve">Crossley Innovations LLC to Dos Gringos Construction LLC — $197,000. End-buyer financing: Kiavi. Contact: Walker McCallon.</w:t>
      </w:r>
    </w:p>
    <w:bookmarkEnd w:id="22"/>
    <w:bookmarkStart w:id="23" w:name="economics"/>
    <w:p>
      <w:pPr>
        <w:pStyle w:val="Heading2"/>
      </w:pPr>
      <w:r>
        <w:t xml:space="preserve">Economics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 funded (A-B purchase)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Brittco transactional fee (flat, due from B-C proceeds)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Borrower expected spread after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 not paid by maturity, optional 1-month extension (2% of principal)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$3,600.00</w:t>
            </w:r>
          </w:p>
        </w:tc>
      </w:tr>
    </w:tbl>
    <w:p>
      <w:pPr>
        <w:pStyle w:val="BodyText"/>
      </w:pPr>
      <w:r>
        <w:t xml:space="preserve">This is a</w:t>
      </w:r>
      <w:r>
        <w:t xml:space="preserve"> </w:t>
      </w:r>
      <w:r>
        <w:rPr>
          <w:bCs/>
          <w:b/>
        </w:rPr>
        <w:t xml:space="preserve">business-purpose transactional loan</w:t>
      </w:r>
      <w:r>
        <w:t xml:space="preserve">, not a consumer mortgage. The property will not be used as the borrower’s or guarantor’s primary residence.</w:t>
      </w:r>
    </w:p>
    <w:bookmarkEnd w:id="23"/>
    <w:bookmarkStart w:id="24" w:name="documents-to-execute"/>
    <w:p>
      <w:pPr>
        <w:pStyle w:val="Heading2"/>
      </w:pPr>
      <w:r>
        <w:t xml:space="preserve">Documents to execute</w:t>
      </w:r>
    </w:p>
    <w:p>
      <w:pPr>
        <w:numPr>
          <w:ilvl w:val="0"/>
          <w:numId w:val="1003"/>
        </w:numPr>
        <w:pStyle w:val="Compact"/>
      </w:pPr>
      <w:r>
        <w:t xml:space="preserve">Secured Promissory Note and Personal Guaranty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Deed of Trust with Power of Sale (Missouri / Jackson County)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This term sheet (acknowledgment)</w:t>
      </w:r>
    </w:p>
    <w:p>
      <w:pPr>
        <w:pStyle w:val="FirstParagraph"/>
      </w:pPr>
      <w:r>
        <w:t xml:space="preserve">Wet-ink signatures in front of a Missouri notary. Counsel and title should confirm the legal description against the commitment before recording.</w:t>
      </w:r>
    </w:p>
    <w:p>
      <w:pPr>
        <w:pStyle w:val="BodyText"/>
      </w:pPr>
      <w:r>
        <w:rPr>
          <w:iCs/>
          <w:i/>
        </w:rPr>
        <w:t xml:space="preserve">This term sheet is a closing aid. The Note and Deed of Trust control if anything conflicts.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2026-09-08T16:36:24Z</dcterms:created>
  <dcterms:modified xsi:type="dcterms:W3CDTF">2026-09-08T16:36:24Z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