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56871" w14:textId="2DDB524B" w:rsidR="0009432E" w:rsidRDefault="00C848AB">
      <w:pPr>
        <w:rPr>
          <w:rFonts w:ascii="Times New Roman" w:hAnsi="Times New Roman" w:cs="Times New Roman"/>
        </w:rPr>
      </w:pPr>
      <w:r>
        <w:rPr>
          <w:rFonts w:ascii="Times New Roman" w:hAnsi="Times New Roman" w:cs="Times New Roman"/>
        </w:rPr>
        <w:t>CSC 573</w:t>
      </w:r>
    </w:p>
    <w:p w14:paraId="51F0D64B" w14:textId="2FD9388A" w:rsidR="00C848AB" w:rsidRDefault="00C848AB">
      <w:pPr>
        <w:rPr>
          <w:rFonts w:ascii="Times New Roman" w:hAnsi="Times New Roman" w:cs="Times New Roman"/>
        </w:rPr>
      </w:pPr>
      <w:r>
        <w:rPr>
          <w:rFonts w:ascii="Times New Roman" w:hAnsi="Times New Roman" w:cs="Times New Roman"/>
        </w:rPr>
        <w:t>Project 2 – Go-Back-N ARQ Scheme</w:t>
      </w:r>
    </w:p>
    <w:p w14:paraId="3B5ACB11" w14:textId="27AAEC25" w:rsidR="00C848AB" w:rsidRDefault="00C848AB">
      <w:pPr>
        <w:rPr>
          <w:rFonts w:ascii="Times New Roman" w:hAnsi="Times New Roman" w:cs="Times New Roman"/>
        </w:rPr>
      </w:pPr>
      <w:r w:rsidRPr="00C848AB">
        <w:rPr>
          <w:rFonts w:ascii="Times New Roman" w:hAnsi="Times New Roman" w:cs="Times New Roman"/>
        </w:rPr>
        <w:t>John Bumgardner</w:t>
      </w:r>
    </w:p>
    <w:p w14:paraId="63320E06" w14:textId="1250DA11" w:rsidR="00C848AB" w:rsidRDefault="00C848AB">
      <w:pPr>
        <w:rPr>
          <w:rFonts w:ascii="Times New Roman" w:hAnsi="Times New Roman" w:cs="Times New Roman"/>
        </w:rPr>
      </w:pPr>
    </w:p>
    <w:p w14:paraId="42CA8881" w14:textId="1B5DD416" w:rsidR="00C848AB" w:rsidRPr="00C848AB" w:rsidRDefault="00C848AB">
      <w:pPr>
        <w:rPr>
          <w:rFonts w:ascii="Times New Roman" w:hAnsi="Times New Roman" w:cs="Times New Roman"/>
          <w:b/>
          <w:bCs/>
        </w:rPr>
      </w:pPr>
      <w:r w:rsidRPr="00C848AB">
        <w:rPr>
          <w:rFonts w:ascii="Times New Roman" w:hAnsi="Times New Roman" w:cs="Times New Roman"/>
          <w:b/>
          <w:bCs/>
        </w:rPr>
        <w:t>Task 1: Effect of Window Size (N):</w:t>
      </w:r>
    </w:p>
    <w:p w14:paraId="799E215C" w14:textId="46EA01CB" w:rsidR="00C848AB" w:rsidRDefault="00C848AB" w:rsidP="00C848AB">
      <w:pPr>
        <w:jc w:val="center"/>
        <w:rPr>
          <w:rFonts w:ascii="Times New Roman" w:hAnsi="Times New Roman" w:cs="Times New Roman"/>
        </w:rPr>
      </w:pPr>
      <w:r>
        <w:rPr>
          <w:noProof/>
        </w:rPr>
        <w:drawing>
          <wp:inline distT="0" distB="0" distL="0" distR="0" wp14:anchorId="0802C581" wp14:editId="32BB6F98">
            <wp:extent cx="4572000" cy="2743200"/>
            <wp:effectExtent l="0" t="0" r="12700" b="12700"/>
            <wp:docPr id="1" name="Chart 1">
              <a:extLst xmlns:a="http://schemas.openxmlformats.org/drawingml/2006/main">
                <a:ext uri="{FF2B5EF4-FFF2-40B4-BE49-F238E27FC236}">
                  <a16:creationId xmlns:a16="http://schemas.microsoft.com/office/drawing/2014/main" id="{284DC3D8-926F-7049-AA19-A73EF2712E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A53B65E" w14:textId="296371D3" w:rsidR="00C848AB" w:rsidRDefault="00C848AB" w:rsidP="00C848AB">
      <w:pPr>
        <w:rPr>
          <w:rFonts w:ascii="Times New Roman" w:hAnsi="Times New Roman" w:cs="Times New Roman"/>
        </w:rPr>
      </w:pPr>
      <w:r>
        <w:rPr>
          <w:rFonts w:ascii="Times New Roman" w:hAnsi="Times New Roman" w:cs="Times New Roman"/>
        </w:rPr>
        <w:tab/>
        <w:t>As shown above, there is a clear worst value to select as the N, as it both maximizes errors, while minimizing the number of packets to be successfully transmitted. Performance is best when using a small window size, as the speed of not having to resend entire windows helps, whereas at large windows, so many packets can be successfully sent before having to retransmit.</w:t>
      </w:r>
    </w:p>
    <w:p w14:paraId="67127E5F" w14:textId="17D5EE0D" w:rsidR="00C848AB" w:rsidRDefault="00C848AB" w:rsidP="00C848AB">
      <w:pPr>
        <w:rPr>
          <w:rFonts w:ascii="Times New Roman" w:hAnsi="Times New Roman" w:cs="Times New Roman"/>
        </w:rPr>
      </w:pPr>
    </w:p>
    <w:p w14:paraId="051A3A2C" w14:textId="6459D5FE" w:rsidR="00C848AB" w:rsidRPr="00C848AB" w:rsidRDefault="00C848AB" w:rsidP="00C848AB">
      <w:pPr>
        <w:rPr>
          <w:rFonts w:ascii="Times New Roman" w:hAnsi="Times New Roman" w:cs="Times New Roman"/>
          <w:b/>
          <w:bCs/>
        </w:rPr>
      </w:pPr>
      <w:r w:rsidRPr="00C848AB">
        <w:rPr>
          <w:rFonts w:ascii="Times New Roman" w:hAnsi="Times New Roman" w:cs="Times New Roman"/>
          <w:b/>
          <w:bCs/>
        </w:rPr>
        <w:t>Task 2: Effect of MSS:</w:t>
      </w:r>
    </w:p>
    <w:p w14:paraId="657352AE" w14:textId="03DDE6E1" w:rsidR="00C848AB" w:rsidRDefault="00C848AB" w:rsidP="00C848AB">
      <w:pPr>
        <w:jc w:val="center"/>
        <w:rPr>
          <w:rFonts w:ascii="Times New Roman" w:hAnsi="Times New Roman" w:cs="Times New Roman"/>
        </w:rPr>
      </w:pPr>
      <w:r>
        <w:rPr>
          <w:noProof/>
        </w:rPr>
        <w:drawing>
          <wp:inline distT="0" distB="0" distL="0" distR="0" wp14:anchorId="2992C8A6" wp14:editId="7F285986">
            <wp:extent cx="4572000" cy="2743200"/>
            <wp:effectExtent l="0" t="0" r="12700" b="12700"/>
            <wp:docPr id="2" name="Chart 2">
              <a:extLst xmlns:a="http://schemas.openxmlformats.org/drawingml/2006/main">
                <a:ext uri="{FF2B5EF4-FFF2-40B4-BE49-F238E27FC236}">
                  <a16:creationId xmlns:a16="http://schemas.microsoft.com/office/drawing/2014/main" id="{F361FE4C-8E68-F54B-AF8D-F60FFE6F4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EEFC5C" w14:textId="63DC82F6" w:rsidR="00C848AB" w:rsidRDefault="00C848AB" w:rsidP="00C848AB">
      <w:pPr>
        <w:rPr>
          <w:rFonts w:ascii="Times New Roman" w:hAnsi="Times New Roman" w:cs="Times New Roman"/>
        </w:rPr>
      </w:pPr>
      <w:r>
        <w:rPr>
          <w:rFonts w:ascii="Times New Roman" w:hAnsi="Times New Roman" w:cs="Times New Roman"/>
        </w:rPr>
        <w:tab/>
        <w:t>Increasing the size of the packets has a clear advantage assuming the intermediary connections can handle. However, due to fixed time sinks (partitioning into packets, calling functions, establishing socket connections) the advantage becomes less pronounced at higher MSS values.</w:t>
      </w:r>
    </w:p>
    <w:p w14:paraId="1D99019E" w14:textId="0AED2097" w:rsidR="00C848AB" w:rsidRDefault="00C848AB" w:rsidP="00C848AB">
      <w:pPr>
        <w:rPr>
          <w:rFonts w:ascii="Times New Roman" w:hAnsi="Times New Roman" w:cs="Times New Roman"/>
          <w:b/>
          <w:bCs/>
        </w:rPr>
      </w:pPr>
      <w:r w:rsidRPr="00C848AB">
        <w:rPr>
          <w:rFonts w:ascii="Times New Roman" w:hAnsi="Times New Roman" w:cs="Times New Roman"/>
          <w:b/>
          <w:bCs/>
        </w:rPr>
        <w:lastRenderedPageBreak/>
        <w:t>Task 3: Effect of Loss Probability:</w:t>
      </w:r>
    </w:p>
    <w:p w14:paraId="4607E93E" w14:textId="6D3B8DF8" w:rsidR="00C848AB" w:rsidRDefault="00C848AB" w:rsidP="00C848AB">
      <w:pPr>
        <w:jc w:val="center"/>
        <w:rPr>
          <w:rFonts w:ascii="Times New Roman" w:hAnsi="Times New Roman" w:cs="Times New Roman"/>
          <w:b/>
          <w:bCs/>
        </w:rPr>
      </w:pPr>
      <w:r>
        <w:rPr>
          <w:noProof/>
        </w:rPr>
        <w:drawing>
          <wp:inline distT="0" distB="0" distL="0" distR="0" wp14:anchorId="35C68992" wp14:editId="1C988474">
            <wp:extent cx="5816600" cy="2743200"/>
            <wp:effectExtent l="0" t="0" r="12700" b="12700"/>
            <wp:docPr id="3" name="Chart 3">
              <a:extLst xmlns:a="http://schemas.openxmlformats.org/drawingml/2006/main">
                <a:ext uri="{FF2B5EF4-FFF2-40B4-BE49-F238E27FC236}">
                  <a16:creationId xmlns:a16="http://schemas.microsoft.com/office/drawing/2014/main" id="{A9D78642-4F66-E749-91AC-159E264883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C26579" w14:textId="13D8A56D" w:rsidR="00C848AB" w:rsidRPr="00C848AB" w:rsidRDefault="00C848AB" w:rsidP="00C848AB">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As the probability is increased, with MSS and N being held constant, the time to send increases linearly. There is, however, some noise in this, as pseudorandom number generators are just that, pseudorandom, and </w:t>
      </w:r>
      <w:r w:rsidR="006E0854">
        <w:rPr>
          <w:rFonts w:ascii="Times New Roman" w:hAnsi="Times New Roman" w:cs="Times New Roman"/>
        </w:rPr>
        <w:t>more tests than 5 per probability would likely level out the values.</w:t>
      </w:r>
    </w:p>
    <w:sectPr w:rsidR="00C848AB" w:rsidRPr="00C848AB" w:rsidSect="0010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AB"/>
    <w:rsid w:val="00103A5F"/>
    <w:rsid w:val="004B3422"/>
    <w:rsid w:val="006E0854"/>
    <w:rsid w:val="00C84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F7A98"/>
  <w15:chartTrackingRefBased/>
  <w15:docId w15:val="{33B792EE-9A46-894D-82EF-8D534EE8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n.bumgardner/Documents/Python/GoBackNARQ/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hn.bumgardner/Documents/Python/GoBackNARQ/Experim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bumgardner/Documents/Python/GoBackNARQ/Experimen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 Size, and how it affects the time to transfer a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'Effect of Window Size'!$A$15</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xVal>
            <c:numRef>
              <c:f>'Effect of Window Size'!$B$14:$L$14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'Effect of Window Size'!$B$15:$L$15</c:f>
              <c:numCache>
                <c:formatCode>General</c:formatCode>
                <c:ptCount val="11"/>
                <c:pt idx="0">
                  <c:v>8.0532953739166206</c:v>
                </c:pt>
                <c:pt idx="1">
                  <c:v>7.2462270259857124</c:v>
                </c:pt>
                <c:pt idx="2">
                  <c:v>20.132035779952965</c:v>
                </c:pt>
                <c:pt idx="3">
                  <c:v>13.325641775131198</c:v>
                </c:pt>
                <c:pt idx="4">
                  <c:v>11.41093730926508</c:v>
                </c:pt>
                <c:pt idx="5">
                  <c:v>8.2103830337524393</c:v>
                </c:pt>
                <c:pt idx="6">
                  <c:v>6.9284764766693083</c:v>
                </c:pt>
                <c:pt idx="7">
                  <c:v>5.2547353267669603</c:v>
                </c:pt>
                <c:pt idx="8">
                  <c:v>3.3533403873443546</c:v>
                </c:pt>
                <c:pt idx="9">
                  <c:v>3.4208054065704303</c:v>
                </c:pt>
                <c:pt idx="10">
                  <c:v>3.4146238327026319</c:v>
                </c:pt>
              </c:numCache>
            </c:numRef>
          </c:yVal>
          <c:smooth val="0"/>
          <c:extLst>
            <c:ext xmlns:c16="http://schemas.microsoft.com/office/drawing/2014/chart" uri="{C3380CC4-5D6E-409C-BE32-E72D297353CC}">
              <c16:uniqueId val="{00000000-A5D8-3841-9D40-A75EBE7454EB}"/>
            </c:ext>
          </c:extLst>
        </c:ser>
        <c:dLbls>
          <c:showLegendKey val="0"/>
          <c:showVal val="0"/>
          <c:showCatName val="0"/>
          <c:showSerName val="0"/>
          <c:showPercent val="0"/>
          <c:showBubbleSize val="0"/>
        </c:dLbls>
        <c:axId val="31930336"/>
        <c:axId val="31931968"/>
      </c:scatterChart>
      <c:valAx>
        <c:axId val="31930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1968"/>
        <c:crosses val="autoZero"/>
        <c:crossBetween val="midCat"/>
      </c:valAx>
      <c:valAx>
        <c:axId val="3193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0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Maximum Segment Size on File Transfer Tine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'Effect of MSS'!$A$15</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xVal>
            <c:numRef>
              <c:f>'Effect of MSS'!$B$14:$K$14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'Effect of MSS'!$B$15:$K$15</c:f>
              <c:numCache>
                <c:formatCode>General</c:formatCode>
                <c:ptCount val="10"/>
                <c:pt idx="0">
                  <c:v>73.699906015396067</c:v>
                </c:pt>
                <c:pt idx="1">
                  <c:v>37.9644131660461</c:v>
                </c:pt>
                <c:pt idx="2">
                  <c:v>24.190791225433323</c:v>
                </c:pt>
                <c:pt idx="3">
                  <c:v>18.184892511367742</c:v>
                </c:pt>
                <c:pt idx="4">
                  <c:v>15.091666603088338</c:v>
                </c:pt>
                <c:pt idx="5">
                  <c:v>12.08646183013914</c:v>
                </c:pt>
                <c:pt idx="6">
                  <c:v>9.9528130054473785</c:v>
                </c:pt>
                <c:pt idx="7">
                  <c:v>9.145439291000347</c:v>
                </c:pt>
                <c:pt idx="8">
                  <c:v>7.838696098327631</c:v>
                </c:pt>
                <c:pt idx="9">
                  <c:v>7.5300614356994586</c:v>
                </c:pt>
              </c:numCache>
            </c:numRef>
          </c:yVal>
          <c:smooth val="0"/>
          <c:extLst>
            <c:ext xmlns:c16="http://schemas.microsoft.com/office/drawing/2014/chart" uri="{C3380CC4-5D6E-409C-BE32-E72D297353CC}">
              <c16:uniqueId val="{00000000-08A5-7C4A-9158-44BA21C922C5}"/>
            </c:ext>
          </c:extLst>
        </c:ser>
        <c:dLbls>
          <c:showLegendKey val="0"/>
          <c:showVal val="0"/>
          <c:showCatName val="0"/>
          <c:showSerName val="0"/>
          <c:showPercent val="0"/>
          <c:showBubbleSize val="0"/>
        </c:dLbls>
        <c:axId val="463784448"/>
        <c:axId val="483702640"/>
      </c:scatterChart>
      <c:valAx>
        <c:axId val="463784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702640"/>
        <c:crosses val="autoZero"/>
        <c:crossBetween val="midCat"/>
      </c:valAx>
      <c:valAx>
        <c:axId val="48370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784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to</a:t>
            </a:r>
            <a:r>
              <a:rPr lang="en-US" baseline="0"/>
              <a:t> Send from Drop Probability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'Effect of Loss Probability p'!$A$8</c:f>
              <c:strCache>
                <c:ptCount val="1"/>
                <c:pt idx="0">
                  <c:v>Avg</c:v>
                </c:pt>
              </c:strCache>
            </c:strRef>
          </c:tx>
          <c:spPr>
            <a:ln w="19050" cap="rnd">
              <a:noFill/>
              <a:round/>
            </a:ln>
            <a:effectLst/>
          </c:spPr>
          <c:marker>
            <c:symbol val="circle"/>
            <c:size val="5"/>
            <c:spPr>
              <a:solidFill>
                <a:schemeClr val="accent1"/>
              </a:solidFill>
              <a:ln w="9525">
                <a:solidFill>
                  <a:schemeClr val="accent1"/>
                </a:solidFill>
              </a:ln>
              <a:effectLst/>
            </c:spPr>
          </c:marker>
          <c:xVal>
            <c:numRef>
              <c:f>'Effect of Loss Probability p'!$B$1:$K$1</c:f>
              <c:numCache>
                <c:formatCode>General</c:formatCode>
                <c:ptCount val="10"/>
                <c:pt idx="0">
                  <c:v>0.01</c:v>
                </c:pt>
                <c:pt idx="1">
                  <c:v>0.02</c:v>
                </c:pt>
                <c:pt idx="2">
                  <c:v>0.03</c:v>
                </c:pt>
                <c:pt idx="3">
                  <c:v>0.04</c:v>
                </c:pt>
                <c:pt idx="4">
                  <c:v>0.05</c:v>
                </c:pt>
                <c:pt idx="5">
                  <c:v>6.0000000000000005E-2</c:v>
                </c:pt>
                <c:pt idx="6">
                  <c:v>7.0000000000000007E-2</c:v>
                </c:pt>
                <c:pt idx="7">
                  <c:v>0.08</c:v>
                </c:pt>
                <c:pt idx="8">
                  <c:v>0.09</c:v>
                </c:pt>
                <c:pt idx="9">
                  <c:v>9.9999999999999992E-2</c:v>
                </c:pt>
              </c:numCache>
            </c:numRef>
          </c:xVal>
          <c:yVal>
            <c:numRef>
              <c:f>'Effect of Loss Probability p'!$B$8:$K$8</c:f>
              <c:numCache>
                <c:formatCode>General</c:formatCode>
                <c:ptCount val="10"/>
                <c:pt idx="0">
                  <c:v>14.273423385620083</c:v>
                </c:pt>
                <c:pt idx="1">
                  <c:v>16.94537734985348</c:v>
                </c:pt>
                <c:pt idx="2">
                  <c:v>17.115956354141183</c:v>
                </c:pt>
                <c:pt idx="3">
                  <c:v>17.90619082450862</c:v>
                </c:pt>
                <c:pt idx="4">
                  <c:v>19.866183614730783</c:v>
                </c:pt>
                <c:pt idx="5">
                  <c:v>19.679971981048521</c:v>
                </c:pt>
                <c:pt idx="6">
                  <c:v>20.94546208381648</c:v>
                </c:pt>
                <c:pt idx="7">
                  <c:v>21.793642997741664</c:v>
                </c:pt>
                <c:pt idx="8">
                  <c:v>22.626579475402799</c:v>
                </c:pt>
                <c:pt idx="9">
                  <c:v>23.295437049865662</c:v>
                </c:pt>
              </c:numCache>
            </c:numRef>
          </c:yVal>
          <c:smooth val="0"/>
          <c:extLst>
            <c:ext xmlns:c16="http://schemas.microsoft.com/office/drawing/2014/chart" uri="{C3380CC4-5D6E-409C-BE32-E72D297353CC}">
              <c16:uniqueId val="{00000000-5A8D-5946-A7EF-9090A8353C35}"/>
            </c:ext>
          </c:extLst>
        </c:ser>
        <c:dLbls>
          <c:showLegendKey val="0"/>
          <c:showVal val="0"/>
          <c:showCatName val="0"/>
          <c:showSerName val="0"/>
          <c:showPercent val="0"/>
          <c:showBubbleSize val="0"/>
        </c:dLbls>
        <c:axId val="436085232"/>
        <c:axId val="436076928"/>
      </c:scatterChart>
      <c:valAx>
        <c:axId val="436085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076928"/>
        <c:crosses val="autoZero"/>
        <c:crossBetween val="midCat"/>
      </c:valAx>
      <c:valAx>
        <c:axId val="43607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085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Bumgardner</dc:creator>
  <cp:keywords/>
  <dc:description/>
  <cp:lastModifiedBy>John Bumgardner</cp:lastModifiedBy>
  <cp:revision>1</cp:revision>
  <dcterms:created xsi:type="dcterms:W3CDTF">2020-07-13T03:20:00Z</dcterms:created>
  <dcterms:modified xsi:type="dcterms:W3CDTF">2020-07-13T03:32:00Z</dcterms:modified>
</cp:coreProperties>
</file>