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0"/>
        </w:rPr>
        <w:t>One-Page PhD Pilot Proposal</w:t>
      </w:r>
    </w:p>
    <w:p>
      <w:pPr>
        <w:spacing w:after="40"/>
        <w:jc w:val="center"/>
      </w:pPr>
      <w:r>
        <w:rPr>
          <w:b/>
          <w:sz w:val="23"/>
        </w:rPr>
        <w:t>Trait Anxiety and Insula-DMN Functional Connectivity in Open Resting-State fMRI Data</w:t>
      </w:r>
    </w:p>
    <w:p>
      <w:pPr>
        <w:spacing w:after="80"/>
        <w:jc w:val="center"/>
      </w:pPr>
      <w:r>
        <w:rPr>
          <w:i/>
          <w:sz w:val="17"/>
        </w:rPr>
        <w:t>Applicant: John Walkey   |   Proposed start: Initial pilot for PhD application</w:t>
      </w:r>
    </w:p>
    <w:p>
      <w:pPr>
        <w:spacing w:before="40" w:after="0"/>
      </w:pPr>
      <w:r>
        <w:rPr>
          <w:b/>
          <w:color w:val="1F4E79"/>
          <w:sz w:val="20"/>
        </w:rPr>
        <w:t>Rationale</w:t>
      </w:r>
    </w:p>
    <w:p>
      <w:pPr>
        <w:spacing w:after="20" w:line="240" w:lineRule="auto"/>
      </w:pPr>
      <w:r>
        <w:t>Anxiety is often associated with altered self-focused thought, interoceptive monitoring, and difficulty disengaging from internally oriented processing. A network-level approach makes this testable. The insula, a key salience-network hub, may show stronger coupling with the default mode network (DMN) in individuals with higher trait anxiety.</w:t>
      </w:r>
    </w:p>
    <w:p>
      <w:pPr>
        <w:spacing w:before="40" w:after="0"/>
      </w:pPr>
      <w:r>
        <w:rPr>
          <w:b/>
          <w:color w:val="1F4E79"/>
          <w:sz w:val="20"/>
        </w:rPr>
        <w:t>Primary Research Question</w:t>
      </w:r>
    </w:p>
    <w:p>
      <w:pPr>
        <w:spacing w:after="20" w:line="240" w:lineRule="auto"/>
      </w:pPr>
      <w:r>
        <w:t>Does higher trait anxiety predict increased resting-state functional connectivity between the insula and canonical DMN nodes, particularly posterior cingulate cortex (PCC) and medial prefrontal cortex (mPFC)?</w:t>
      </w:r>
    </w:p>
    <w:p>
      <w:pPr>
        <w:spacing w:before="40" w:after="0"/>
      </w:pPr>
      <w:r>
        <w:rPr>
          <w:b/>
          <w:color w:val="1F4E79"/>
          <w:sz w:val="20"/>
        </w:rPr>
        <w:t>Hypothesis</w:t>
      </w:r>
    </w:p>
    <w:p>
      <w:pPr>
        <w:spacing w:after="20" w:line="240" w:lineRule="auto"/>
      </w:pPr>
      <w:r>
        <w:t>Individuals with higher trait anxiety will show stronger insula-DMN functional connectivity at rest, consistent with greater coupling between salience/interoceptive processing and internally oriented mentation.</w:t>
      </w:r>
    </w:p>
    <w:p>
      <w:pPr>
        <w:spacing w:before="40" w:after="0"/>
      </w:pPr>
      <w:r>
        <w:rPr>
          <w:b/>
          <w:color w:val="1F4E79"/>
          <w:sz w:val="20"/>
        </w:rPr>
        <w:t>Data Source</w:t>
      </w:r>
    </w:p>
    <w:p>
      <w:pPr>
        <w:spacing w:after="20" w:line="240" w:lineRule="auto"/>
      </w:pPr>
      <w:r>
        <w:t>Initial pilot using a large open resting-state fMRI resource such as the Human Connectome Project (HCP), or another open preprocessed dataset with usable behavioral measures related to anxiety, stress, or negative affect.</w:t>
      </w:r>
    </w:p>
    <w:p>
      <w:pPr>
        <w:spacing w:before="40" w:after="0"/>
      </w:pPr>
      <w:r>
        <w:rPr>
          <w:b/>
          <w:color w:val="1F4E79"/>
          <w:sz w:val="20"/>
        </w:rPr>
        <w:t>Methods</w:t>
      </w:r>
    </w:p>
    <w:p>
      <w:pPr>
        <w:spacing w:after="0" w:line="240" w:lineRule="auto"/>
        <w:ind w:left="259" w:hanging="173"/>
      </w:pPr>
      <w:r>
        <w:t>• Use preprocessed resting-state fMRI data to avoid new data collection.</w:t>
      </w:r>
    </w:p>
    <w:p>
      <w:pPr>
        <w:spacing w:after="0" w:line="240" w:lineRule="auto"/>
        <w:ind w:left="259" w:hanging="173"/>
      </w:pPr>
      <w:r>
        <w:t>• Extract regional time series from an atlas-based parcellation using Python and Nilearn.</w:t>
      </w:r>
    </w:p>
    <w:p>
      <w:pPr>
        <w:spacing w:after="0" w:line="240" w:lineRule="auto"/>
        <w:ind w:left="259" w:hanging="173"/>
      </w:pPr>
      <w:r>
        <w:t>• Define regions of interest in bilateral insula plus DMN nodes (PCC, mPFC, angular / lateral parietal cortex).</w:t>
      </w:r>
    </w:p>
    <w:p>
      <w:pPr>
        <w:spacing w:after="0" w:line="240" w:lineRule="auto"/>
        <w:ind w:left="259" w:hanging="173"/>
      </w:pPr>
      <w:r>
        <w:t>• Compute subject-level functional connectivity (Pearson correlations; Fisher z transformed).</w:t>
      </w:r>
    </w:p>
    <w:p>
      <w:pPr>
        <w:spacing w:after="0" w:line="240" w:lineRule="auto"/>
        <w:ind w:left="259" w:hanging="173"/>
      </w:pPr>
      <w:r>
        <w:t>• Relate connectivity estimates to trait-anxiety scores using correlation and multiple regression, controlling for age, sex, and head motion where available.</w:t>
      </w:r>
    </w:p>
    <w:p>
      <w:pPr>
        <w:spacing w:after="0" w:line="240" w:lineRule="auto"/>
        <w:ind w:left="259" w:hanging="173"/>
      </w:pPr>
      <w:r>
        <w:t>• Inspect broader DMN, salience-network, and fronto-parietal patterns as secondary analyses.</w:t>
      </w:r>
    </w:p>
    <w:p>
      <w:pPr>
        <w:spacing w:before="40" w:after="0"/>
      </w:pPr>
      <w:r>
        <w:rPr>
          <w:b/>
          <w:color w:val="1F4E79"/>
          <w:sz w:val="20"/>
        </w:rPr>
        <w:t>Expected Outcome and Significance</w:t>
      </w:r>
    </w:p>
    <w:p>
      <w:pPr>
        <w:spacing w:after="20" w:line="240" w:lineRule="auto"/>
      </w:pPr>
      <w:r>
        <w:t>A successful pilot would establish a concrete, technically feasible workflow for asking clinically relevant questions about brain networks using existing fMRI databases. It would also provide a focused starting study for a PhD that could later expand into broader analyses of anxiety, rumination, neurofeedback, or network plasticity without requiring new MRI data collection.</w:t>
      </w:r>
    </w:p>
    <w:sectPr w:rsidR="00FC693F" w:rsidRPr="0006063C" w:rsidSect="00034616">
      <w:pgSz w:w="12240" w:h="15840"/>
      <w:pgMar w:top="720" w:right="1008" w:bottom="64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