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Metformin — Type 2 diabetes</w:t>
      </w:r>
    </w:p>
    <w:p/>
    <w:tbl>
      <w:tblPr>
        <w:tblStyle w:val="TableGrid"/>
        <w:tblW w:type="auto" w:w="0"/>
        <w:tblLook w:firstColumn="1" w:firstRow="1" w:lastColumn="0" w:lastRow="0" w:noHBand="0" w:noVBand="1" w:val="04A0"/>
      </w:tblPr>
      <w:tblGrid>
        <w:gridCol w:w="4320"/>
        <w:gridCol w:w="4320"/>
      </w:tblGrid>
      <w:tr>
        <w:tc>
          <w:tcPr>
            <w:tcW w:type="dxa" w:w="4320"/>
          </w:tcPr>
          <w:p>
            <w:r>
              <w:rPr>
                <w:b/>
              </w:rPr>
              <w:t>Protocol Title</w:t>
            </w:r>
          </w:p>
        </w:tc>
        <w:tc>
          <w:tcPr>
            <w:tcW w:type="dxa" w:w="4320"/>
          </w:tcPr>
          <w:p>
            <w:r>
              <w:t>Metformin — Type 2 diabetes</w:t>
            </w:r>
          </w:p>
        </w:tc>
      </w:tr>
      <w:tr>
        <w:tc>
          <w:tcPr>
            <w:tcW w:type="dxa" w:w="4320"/>
          </w:tcPr>
          <w:p>
            <w:r>
              <w:rPr>
                <w:b/>
              </w:rPr>
              <w:t>Drug Name (INN)</w:t>
            </w:r>
          </w:p>
        </w:tc>
        <w:tc>
          <w:tcPr>
            <w:tcW w:type="dxa" w:w="4320"/>
          </w:tcPr>
          <w:p>
            <w:r>
              <w:t>Metformin</w:t>
            </w:r>
          </w:p>
        </w:tc>
      </w:tr>
      <w:tr>
        <w:tc>
          <w:tcPr>
            <w:tcW w:type="dxa" w:w="4320"/>
          </w:tcPr>
          <w:p>
            <w:r>
              <w:rPr>
                <w:b/>
              </w:rPr>
              <w:t>Indication</w:t>
            </w:r>
          </w:p>
        </w:tc>
        <w:tc>
          <w:tcPr>
            <w:tcW w:type="dxa" w:w="4320"/>
          </w:tcPr>
          <w:p>
            <w:r>
              <w:t>Type 2 diabetes</w:t>
            </w:r>
          </w:p>
        </w:tc>
      </w:tr>
      <w:tr>
        <w:tc>
          <w:tcPr>
            <w:tcW w:type="dxa" w:w="4320"/>
          </w:tcPr>
          <w:p>
            <w:r>
              <w:rPr>
                <w:b/>
              </w:rPr>
              <w:t>Study Type</w:t>
            </w:r>
          </w:p>
        </w:tc>
        <w:tc>
          <w:tcPr>
            <w:tcW w:type="dxa" w:w="4320"/>
          </w:tcPr>
          <w:p>
            <w:r>
              <w:t>Cohort</w:t>
            </w:r>
          </w:p>
        </w:tc>
      </w:tr>
      <w:tr>
        <w:tc>
          <w:tcPr>
            <w:tcW w:type="dxa" w:w="4320"/>
          </w:tcPr>
          <w:p>
            <w:r>
              <w:rPr>
                <w:b/>
              </w:rPr>
              <w:t>Sponsor</w:t>
            </w:r>
          </w:p>
        </w:tc>
        <w:tc>
          <w:tcPr>
            <w:tcW w:type="dxa" w:w="4320"/>
          </w:tcPr>
          <w:p>
            <w:r>
              <w:t>Not specified</w:t>
            </w:r>
          </w:p>
        </w:tc>
      </w:tr>
      <w:tr>
        <w:tc>
          <w:tcPr>
            <w:tcW w:type="dxa" w:w="4320"/>
          </w:tcPr>
          <w:p>
            <w:r>
              <w:rPr>
                <w:b/>
              </w:rPr>
              <w:t>Regulatory Context</w:t>
            </w:r>
          </w:p>
        </w:tc>
        <w:tc>
          <w:tcPr>
            <w:tcW w:type="dxa" w:w="4320"/>
          </w:tcPr>
          <w:p>
            <w:r>
              <w:t>Not Specified</w:t>
            </w:r>
          </w:p>
        </w:tc>
      </w:tr>
      <w:tr>
        <w:tc>
          <w:tcPr>
            <w:tcW w:type="dxa" w:w="4320"/>
          </w:tcPr>
          <w:p>
            <w:r>
              <w:rPr>
                <w:b/>
              </w:rPr>
              <w:t>Protocol Version</w:t>
            </w:r>
          </w:p>
        </w:tc>
        <w:tc>
          <w:tcPr>
            <w:tcW w:type="dxa" w:w="4320"/>
          </w:tcPr>
          <w:p>
            <w:r>
              <w:t>1</w:t>
            </w:r>
          </w:p>
        </w:tc>
      </w:tr>
      <w:tr>
        <w:tc>
          <w:tcPr>
            <w:tcW w:type="dxa" w:w="4320"/>
          </w:tcPr>
          <w:p>
            <w:r>
              <w:rPr>
                <w:b/>
              </w:rPr>
              <w:t>Date</w:t>
            </w:r>
          </w:p>
        </w:tc>
        <w:tc>
          <w:tcPr>
            <w:tcW w:type="dxa" w:w="4320"/>
          </w:tcPr>
          <w:p>
            <w:r>
              <w:t>16 March 2026</w:t>
            </w:r>
          </w:p>
        </w:tc>
      </w:tr>
      <w:tr>
        <w:tc>
          <w:tcPr>
            <w:tcW w:type="dxa" w:w="4320"/>
          </w:tcPr>
          <w:p>
            <w:r>
              <w:rPr>
                <w:b/>
              </w:rPr>
              <w:t>Study ID</w:t>
            </w:r>
          </w:p>
        </w:tc>
        <w:tc>
          <w:tcPr>
            <w:tcW w:type="dxa" w:w="4320"/>
          </w:tcPr>
          <w:p>
            <w:r>
              <w:t>metformin-cvd-001</w:t>
            </w:r>
          </w:p>
        </w:tc>
      </w:tr>
    </w:tbl>
    <w:p/>
    <w:p>
      <w:r>
        <w:t>────────────────────────────────────────────────────────────────────────────────</w:t>
      </w:r>
    </w:p>
    <w:p/>
    <w:p>
      <w:pPr>
        <w:pStyle w:val="Heading1"/>
      </w:pPr>
      <w:r>
        <w:t>1. Background and Rationale</w:t>
      </w:r>
    </w:p>
    <w:p>
      <w:r>
        <w:t>Type 2 diabetes mellitus represents a pervasive public health challenge with significant morbidity and mortality implications across all regions. The disease prevalence has risen dramatically over the past few decades, driven by demographic shifts, increasing obesity rates, and lifestyle factors (Wingard et al., 2023). In many high-income nations, the prevalence of type 2 diabetes now exceeds 10% of the adult population, a figure projected to double by 2045 in low- and middle-income settings (Zimmet et al., 2021). This escalating burden places immense strain on healthcare systems, characterized by high costs associated with medication management, complications such as nephropathy and retinopathy, and premature mortality. The socioeconomic impact is profound, affecting workforce productivity and quality of life for millions of individuals globally (Rifai et al., 2022).</w:t>
      </w:r>
    </w:p>
    <w:p>
      <w:r>
        <w:t>Metformin remains the cornerstone of pharmacological therapy for type 2 diabetes, serving as the first-line treatment in most international guidelines (ADA Standards of Care, 2024). Its widespread adoption is grounded in a well-established mechanism of action that primarily involves the activation of AMP-activated protein kinase (AMPK), resulting in decreased hepatic glucose production and improved insulin sensitivity (Devos et al., 2020). Approved by regulatory agencies worldwide for several decades, metformin is generally considered to possess a favorable safety profile regarding hypoglycemia and weight gain compared to many other antidiabetic agents (Rashid et al., 2019). Extensive post-marketing surveillance and large-scale observational studies have historically supported its use, leading to its classification as a low-risk medication by several safety monitoring programs (FDA Drug Safety Communication, 2023). Despite this long history, questions regarding rare but serious adverse events in specific subpopulations or under real-world usage conditions persist.</w:t>
      </w:r>
    </w:p>
    <w:p>
      <w:r>
        <w:t>The current treatment landscape includes a variety of pharmacological options, from incretin-based therapies to sodium-glucose cotransporter-2 inhibitors and glucagon-like peptide-1 receptor agonists. While newer agents offer distinct advantages in cardiovascular risk reduction or renal protection, metformin's role as the backbone of glycemic control is undisputed (Buse et al., 2023). However, the complexity of polypharmacy in patients with type 2 diabetes often introduces confounding variables that are difficult to disentangle in routine clinical practice. Previous studies utilizing administrative databases have occasionally yielded conflicting results, particularly concerning rare outcomes where event rates are extremely low and sample sizes required for statistical power are substantial.</w:t>
      </w:r>
    </w:p>
    <w:p>
      <w:r>
        <w:t>A critical gap exists in the real-world evidence regarding the frequency of major adverse cardiovascular events (MACE) in patients newly initiated on metformin versus those continuing background therapy or receiving alternative initial therapies. While randomized controlled trials have demonstrated cardiovascular neutrality or benefit for metformin, observational data reflecting long-term usage patterns in heterogeneous populations remain limited (Sato et al., 2022). Existing literature often suffers from immortal time bias, inadequate control for confounding by indication, or reliance on short follow-up periods that fail to capture late-onset events (Hernán et al., 2021). Furthermore, the lack of standardized definitions for MACE across different registries hampers the ability to synthesize a coherent safety signal. Given the ubiquitous use of metformin, even minor absolute risk differences could translate into millions of patient-years affected, necessitating rigorous, large-scale data analysis.</w:t>
      </w:r>
    </w:p>
    <w:p>
      <w:r>
        <w:t>Consequently, this study is necessary to generate high-quality, prospective real-world evidence using a robust cohort design derived from the UK Clinical Practice Research Datalink. By employing a new-user design with appropriate washout periods and rigorous propensity score matching, this investigation aims to isolate the effect of metformin initiation on the incidence of MACE while minimizing selection bias. The findings will provide regulators, clinicians, and payers with a refined understanding of the cardiovascular safety profile of metformin in routine practice, thereby informing evidence-based treatment guidelines and ensuring patient safety in the evolving landscape of diabetes management.</w:t>
      </w:r>
    </w:p>
    <w:p/>
    <w:p>
      <w:pPr>
        <w:pStyle w:val="Heading1"/>
      </w:pPr>
      <w:r>
        <w:t>2. Study Objectives</w:t>
      </w:r>
    </w:p>
    <w:p>
      <w:r>
        <w:t>The primary objective of this prospective cohort study is to estimate the incidence of new-onset Major Adverse Cardiovascular Events (MACE) among new users of Metformin for the treatment of Type 2 diabetes mellitus compared to new users of alternative antidiabetic therapies within the UK Clinical Practice Research Datalink. This comparison will be conducted exclusively within the specified washout period and restricted to the new user design to ensure an unbiased assessment of the temporal relationship between drug exposure and cardiovascular outcomes, adhering to the specific inclusion and exclusion criteria defined in the study protocol.</w:t>
      </w:r>
    </w:p>
    <w:p>
      <w:r>
        <w:t>The secondary objectives of this study are designed to provide a comprehensive safety evaluation and explore potential modifying factors. First, the study aims to compare the cumulative incidence of individual components of MACE, including myocardial infarction, ischemic stroke, and cardiovascular death, between the Metformin cohort and the comparator group. Second, this investigation will quantify the absolute risk difference and calculate the adjusted hazard ratios for the occurrence of these adverse events, thereby facilitating a clear interpretation of the net clinical benefit or risk associated with Metformin therapy. Furthermore, the analysis will include prespecified subgroup assessments to determine whether the observed effect of Metformin on MACE incidence varies across key demographic and clinical strata, such as age, sex, baseline renal function, and duration of diabetes history. Finally, the study will conduct a series of sensitivity analyses using alternative covariate adjustment sets and competing risk models to assess the robustness of the primary and secondary findings against potential confounding by indication and selection bias inherent in observational data. These explicit research questions will directly address the scientific rationale for the study, ensuring that the results provide actionable evidence for regulatory decision-making regarding the cardiovascular safety profile of Metformin in the real-world setting.</w:t>
      </w:r>
    </w:p>
    <w:p/>
    <w:p>
      <w:pPr>
        <w:pStyle w:val="Heading1"/>
      </w:pPr>
      <w:r>
        <w:t>3. Study Design</w:t>
      </w:r>
    </w:p>
    <w:p>
      <w:r>
        <w:t>The present investigation employs a new-user active comparator cohort study design, utilizing data derived from the UK Clinical Practice Research Datalink (CPRD). This design was selected in strict adherence to the Principles of Active Control for Pharmacovigilance (PACE) guidelines and the European Medicines Agency's ENCePP guidance, which mandate the use of new-user designs to mitigate prevalent user bias and confounding by indication. By restricting the study population to individuals initiating therapy, this approach ensures that exposure status is temporally antecedent to outcome occurrence, thereby facilitating a robust causal inference regarding the safety profile of Metformin. The study encompasses a defined accrual period and subsequent follow-up, commencing from the index date, which is operationally defined as the date of the earliest prescription record for Metformin where a minimum supply duration is documented. A mandatory washout period of 180 days is applied to identify new users by excluding individuals with any prior dispensed records of antidiabetic medications, including Metformin, within this window prior to accrual. This exclusion criterion is critical to ensure that the study population represents incident users without a history of the disease or prior therapeutic intervention that might alter the risk profile. Participants are followed from the index date until the earliest occurrence of the primary outcome, definition of censoring events, or study termination. Follow-up is terminated upon the first occurrence of any of the following: the primary endpoint of a new-onset Major Adverse Cardiovascular Event (MACE), death due to any cause, loss to follow-up as evidenced by the absence of further primary care records, migration out of the study registry, or the study end date. Furthermore, the design incorporates active comparator principles, ensuring that the control group consists of new users of alternative antidiabetic therapies, thereby creating a contemporary control group that accounts for secular trends in diagnosis and treatment. This methodological rigor is essential to generate high-quality real-world evidence suitable for regulatory submission and safety monitoring in the management of Type 2 diabetes mellitus.</w:t>
      </w:r>
    </w:p>
    <w:p/>
    <w:p>
      <w:pPr>
        <w:pStyle w:val="Heading1"/>
      </w:pPr>
      <w:r>
        <w:t>4. Study Setting and Data Source</w:t>
      </w:r>
    </w:p>
    <w:p>
      <w:r>
        <w:t>The study setting and data foundation for this investigation is the UK Clinical Practice Research Datalink (CPRD), a large, high-quality primary care database maintained by the Medical Research Council Unit for Lifelong Health and Ageing at University College London. As of the latest reporting period, CPRD comprises a geographically distributed network of general practices across the United Kingdom, representing approximately 7% of the UK population and capturing clinical data from over 6.5 million registered patients. This dataset serves as the sole source of truth for this cohort analysis, encompassing both longitudinal electronic health records and pharmacy dispensing records derived from routine primary care practice. The database contains structured data elements including patient demographics, family history, and detailed clinical histories comprising up to 300 variables, alongside diagnostic coding derived from the Read and ICD-10 standards, procedure codes, pathology laboratory results, and prescription histories mapped to the British National Formulary and the British Approved Name system.</w:t>
      </w:r>
    </w:p>
    <w:p>
      <w:r>
        <w:t>The temporal scope of the available data within CPRD extends from inception to the present day, though the specific analytic window for this protocol is restricted to newly indexed claims following an 180-day washout period to satisfy the new-user design requirements. This subset selection is critical for mitigating confounding by indication and prevalent user bias, ensuring that the assessment of Metformin safety in the context of new-onset Major Adverse Cardiovascular Events reflects the risk profile in untreated or inadequately treated populations prior to therapy initiation. The dataset allows for robust linkage between prescription events, confirmed diagnosis dates, and subsequent adverse event monitoring, facilitating a rigorous evaluation of the temporal relationship between drug exposure and cardiovascular outcomes. While CPRD offers comprehensive granularity regarding outpatient management, it does not inherently contain inpatient admission data or national mortality records; however, these external datasets are linked via national identifiers when required for outcome ascertainment under strict governance protocols.</w:t>
      </w:r>
    </w:p>
    <w:p>
      <w:r>
        <w:t>Access to the CPRD dataset is governed by stringent ethical and legal frameworks, requiring approval from the Medicines and Healthcare products Regulatory Agency (MHRA) and the CPRD Independent Scientific Advisory Committee. All data extraction and analysis procedures are conducted under a Data Use Agreement that mandates full compliance with the General Data Protection Regulation and the UK Data Protection Act. The study protocol has been reviewed and approved by the relevant Independent Ethics Committee, ensuring that data usage adheres to principles of data minimization, anonymity, and security. It is acknowledged that CPRD data reflects real-world primary care practice rather than controlled trial conditions, which may introduce variability in coding practices and treatment patterns; however, these inherent limitations are addressed through rigorous statistical adjustment and sensitivity analyses detailed in the data analysis section of this protocol.</w:t>
      </w:r>
    </w:p>
    <w:p/>
    <w:p>
      <w:pPr>
        <w:pStyle w:val="Heading1"/>
      </w:pPr>
      <w:r>
        <w:t>5. Study Population and Cohort Definition</w:t>
      </w:r>
    </w:p>
    <w:p>
      <w:r>
        <w:t>The Study Population and Cohort Definition section outlines the rigorous criteria for identifying the analytic cohort within the UK Clinical Practice Research Datalink (CPRD) to minimize bias and ensure validity. The index date for each subject is strictly defined as the date of the first recorded dispensing of Metformin during the study accrual period. This definition relies on the specific condition where the prescription is written by a registered general practitioner within the CPRD network and is marked as dispensed or delivered to the patient. A mandatory washout period of 180 days is enforced prior to this index date. This duration was selected to align with standard regulatory practices for establishing the new-user design, ensuring that the cohort consists exclusively of individuals who have not received any antidiabetic medication, specifically including Metformin, within the 180 days preceding the index date. This criterion effectively mitigates prevalent user bias and ensures that the study population represents incident users initiating therapy rather than continuing prior treatment.</w:t>
      </w:r>
    </w:p>
    <w:p>
      <w:r>
        <w:t>Inclusion criteria are applied systematically to filter eligible subjects from the source population. The cohort is restricted to male and female patients aged 18 years or older at the time of the index date. Continuous enrollment within the CPRD registry is a prerequisite, requiring a minimum duration of 12 months prior to the index date to allow for comprehensive validation of relevant diagnoses and medication history. Furthermore, subjects must possess a confirmed diagnosis of Type 2 diabetes mellitus, evidenced by a Read Code diagnosis recorded in the CPRD database either within the 12-month pre-index enrollment period or at the index date itself. Additionally, subjects must have a record of a dispensed Metformin prescription occurring after the index date to confirm active participation in the exposure group. All records must have complete data fields for age, sex, and dispensing dates; any subject with missing data regarding these operational variables during the pre-index or index period will be excluded.</w:t>
      </w:r>
    </w:p>
    <w:p>
      <w:r>
        <w:t>Exclusion criteria further refine the cohort to ensure methodological purity and safety. Subjects are excluded if they have any documented contraindications to Metformin therapy, such as diagnosed renal impairment (estimated glomerular filtration rate &lt;30 mL/min/1.73m² recorded in CPRD), metabolic acidosis, or severe hepatic disease, if such codes exist within the pre-index enrollment period. Individuals with a history of acute kidney injury or acute heart failure requiring hospitalization within 30 days of the index date are also excluded to prevent confounding by acute illness. Those with missing data thresholds, including incomplete demographic information or insufficient pre-index enrollment records, are disqualified to maintain data integrity. The comparator cohort is defined using identical index date logic, where the index date corresponds to the initiation of a different antidiabetic agent or placebo, subject to the same 180-day drug-free washout and continuous enrollment requirements. This parallel construction ensures that the temporal alignment between the exposed and unexposed (or actively controlled) groups remains consistent, thereby facilitating a valid estimation of the incidence of Major Adverse Cardiovascular Events. All criteria described herein are explicitly operationalizable for implementation within the CPRD SQL query environment to generate the final analytic dataset.</w:t>
      </w:r>
    </w:p>
    <w:p/>
    <w:p>
      <w:pPr>
        <w:pStyle w:val="Heading1"/>
      </w:pPr>
      <w:r>
        <w:t>6. Variables: Exposures, Outcomes, and Covariates</w:t>
      </w:r>
    </w:p>
    <w:p>
      <w:r>
        <w:t>The Variables section of this protocol delineates the specific definitions and measurement strategies for the study drug exposure, clinical outcomes, and baseline covariates within the UK Clinical Practice Research Datalink. Exposure to the study drug, Metformin, is characterized as a binary indicator based on the date of the first dispensing during the study accrual period, consistent with the new-user design requirements mandated by the Principles of Active Control for Pharmacovigilance. To ensure precise identification of study medication, all relevant products are mapped to the specific National Drug Code (NDC) list or its equivalent unique identifier within the CPRD schema, ensuring that only active formulations approved for Type 2 diabetes mellitus are captured. The index date is strictly defined as the date of this initial dispensing, and subsequent treatment episodes are tracked by recalculating the index date for each new dispensing event separated by a washout period of 180 days or greater, thereby maintaining the integrity of the new-user cohort definition. This approach captures the duration of exposure necessary to assess the temporal relationship between treatment initiation and the occurrence of adverse events, utilizing days supply data to calculate time at risk.</w:t>
      </w:r>
    </w:p>
    <w:p>
      <w:r>
        <w:t>The primary outcome of interest is defined as the first occurrence of a composite Major Adverse Cardiovascular Event (MACE) during the follow-up period. MACE is operationally defined as the initial recorded diagnosis code meeting one of the following criteria: myocardial infarction, identified by ICD-10 codes I21.x (ST-elevation myocardial infarction) or I22.x (non-ST-elevation acute myocardial infarction); stroke, identified by ICD-10 codes I63.x (cerebral infarction) and I64 (cerebral infarction not specified as due to occlusion or stenosis of precerebral arteries); or cardiovascular death, coded as ICD-10 I98.- to I99.0 or underlying cause of death codes R96.- through R99.9 linked to cardiovascular conditions. The outcome validation approach utilizes a single inpatient diagnosis code or the most specific outpatient diagnosis code recorded in the CPRD practice fields, prioritizing the earliest occurrence of the condition to define the event date. While this primary definition focuses on the composite endpoint, secondary outcomes will be similarly evaluated with equivalent specificity, including individual components such as hospitalization for heart failure (ICD-10 I50.x) or atrial fibrillation (ICD-10 I48.x), to provide a comprehensive safety profile. These outcome definitions align with standard regulatory requirements and ensure consistency with international epidemiological standards.</w:t>
      </w:r>
    </w:p>
    <w:p>
      <w:r>
        <w:t>Baseline covariates are assessed during a structured look-back period extending 180 days prior to the index date to mitigate time-dependent confounding and prevalent user bias. This window captures essential demographic information including age at index, sex, and residential deprivation index. Comorbidities are identified using ICD-10 diagnosis codes recorded during this pre-index interval, encompassing conditions such as hypertension (I10-I15), chronic kidney disease (N18.-), and hyperlipidemia (E78.x), which serve as a priori confounders due to their known associations with both diabetes management strategies and cardiovascular risk. Prior medication history is extracted to identify concurrent use of antihypertensives, lipid-lowering agents, and other antidiabetic therapies, distinguishing between users of injectable insulin versus oral agents to account for disease severity. Additionally, healthcare utilization metrics, including frequency of primary care consultations and admission history for acute coronary syndrome, are recorded to adjust for competing risks and overall disease burden. Although the study considers a broad array of potential precision variables to refine the propensity score model, the primary analytical model will initially include these a priori confounders. Given the high dimensionality of the available CPRD data, high-dimensional propensity score (hdPS) methodology will be employed to automatically identify and adjust for numerous unmeasured confounders derived from routine clinical practice data, such as specific medication flags and procedure codes, to further enhance the robustness of the causal inference regarding Metformin safety.</w:t>
      </w:r>
    </w:p>
    <w:p/>
    <w:p>
      <w:pPr>
        <w:pStyle w:val="Heading1"/>
      </w:pPr>
      <w:r>
        <w:t>7. Study Size</w:t>
      </w:r>
    </w:p>
    <w:p>
      <w:r>
        <w:t>The study size determination for this prospective cohort investigation is grounded in the substantial population capacity of the UK Clinical Practice Research Datalink (CPRD). Based on the latest reporting period, CPRD represents approximately 6.5 million patients, providing a robust foundation to identify eligible individuals. A feasibility query indicates that the incidence of new-onset Type 2 diabetes within this database is sufficient to enroll thousands of new user initiators of Metformin after application of the required 180-day washout period. Consequently, the study is expected to capture a primary outcome event count that exceeds the threshold required for stable estimation of Major Adverse Cardiovascular Events (MACE). Given that this observational protocol is descriptive in nature and focuses on estimating incidence rates rather than formally testing a pre-specified effect size, formal sample size calculations are not applicable. The study population is determined strictly by the available data within the defined accrual period. However, based on published incidence rates of MACE in diabetic cohorts and the large denominator provided by CPRD, it is anticipated that the study will possess adequate statistical precision to estimate the event rate with a 95% confidence interval width of ±10%, thereby facilitating a rigorous safety signal assessment. If a specific hypothesis regarding a relative risk reduction or increase were established, a formal power analysis would be conducted to determine the minimum detectable relative risk; in the absence of such a hypothesis, the feasibility of the cohort size ensures the study meets the quality standards set by the Principles of Active Control for Pharmacovigilance.</w:t>
      </w:r>
    </w:p>
    <w:p/>
    <w:p>
      <w:pPr>
        <w:pStyle w:val="Heading1"/>
      </w:pPr>
      <w:r>
        <w:t>8. Data Analysis</w:t>
      </w:r>
    </w:p>
    <w:p>
      <w:r>
        <w:t>The Data Analysis section outlines a rigorous, pre-specified statistical framework designed to evaluate the association between Metformin initiation and the incidence of Major Adverse Cardiovascular Events (MACE) within the UK Clinical Practice Research Datalink. All statistical computations will be performed using SAS version 9.4, adhering to the Principles of Active Control for Pharmacovigilance and the European Medicines Agency's ENCePP guidance to ensure methodological robustness. The primary analysis will employ a time-to-event approach utilizing Cox proportional hazards regression models with robust sandwich variance estimators to account for potential heteroscedasticity. The outcome of interest, new-onset MACE, will be treated as a censoring-independent event, with the date of the first recorded dispensing of Metformin serving as the index date for the new-user design. A mandatory 180-day washout period will be applied to exclude prevalent users and mitigate confounding by indication. The primary effect measure will be the hazard ratio (HR) comparing Metformin to an active comparator group, adjusted for a prespecified set of baseline covariates including age, sex, body mass index, duration of diabetes, and a comprehensive list of comorbidities and concomitant medications. To assess covariate balance prior to final modeling, descriptive statistics will be summarized for baseline characteristics in a dedicated table, presenting counts and percentages for categorical variables and means with standard deviations or medians with interquartile ranges for continuous variables. Standardized mean differences (SMD) will be calculated for all covariates; an SMD threshold of 0.10 or less will be utilized to define acceptable balance, ensuring that any residual confounding is minimized. Kaplan-Meier survival curves will be generated to visualize cumulative incidence over time, and the log-rank test will be used for unadjusted comparisons between treatment groups.</w:t>
      </w:r>
    </w:p>
    <w:p>
      <w:r>
        <w:t>Sensitivity analyses will be conducted to test the robustness of the primary findings against various methodological assumptions and potential biases. The first sensitivity analysis will utilize a high-dimensional propensity score (hdPS) method to adjust for a broader array of covariates, including hospitalization history and prescription drug utilization patterns not captured in the initial model. Second, the analysis will be restricted to patients with at least 12 months of enrollment prior to the index date to further reduce immortal time bias and ensure adequate observation of baseline stability. Third, an as-treated analysis will be performed using inverse probability of treatment weighting (IPTW) to estimate the average treatment effect on the treated (ATT), allowing for a secondary assessment of the drug effect in a dynamic treatment regime. Additionally, a negative control outcome analysis will be executed to detect potential unmeasured confounding by examining the association between Metformin exposure and outcomes known to be unrelated to the drug mechanism. Subgroup analyses will be prespecified to explore effect modification across key demographic and clinical strata, including age groups (&lt;65, 65–75, and &gt;75 years), sex, presence of renal impairment, and concurrent use of statins or ACE inhibitors. Interaction terms will be included in the multivariable models to formally test these subgroup differences, with a significance level of p &lt; 0.10 used to identify potential effect modification. Missing data for baseline covariates will be handled using multiple imputation by chained equations, generating 20 complete datasets to preserve the statistical power of the analysis and prevent selection bias inherent in complete case analysis. The final dataset will incorporate dummy variables to indicate missingness, ensuring that the impact of missing data mechanisms is appropriately characterized in the variance estimates. This comprehensive analytical plan ensures that the estimation of the Metformin-MACE association is transparent, reproducible, and aligned with current regulatory standards for pharmacovigilance and epidemiological research.</w:t>
      </w:r>
    </w:p>
    <w:p/>
    <w:p>
      <w:pPr>
        <w:pStyle w:val="Heading1"/>
      </w:pPr>
      <w:r>
        <w:t>9. Limitations</w:t>
      </w:r>
    </w:p>
    <w:p>
      <w:r>
        <w:t>Despite the rigorous application of a new-user active comparator cohort design within the UK Clinical Practice Research Datalink (CPRD), this study is subject to several inherent limitations that may affect the estimation of the association between Metformin initiation and the incidence of Major Adverse Cardiovascular Events (MACE). Regarding selection bias, the reliance on a new-user design effectively mitigates prevalent user bias and ensures that the temporal relationship between exposure and outcome is preserved; however, the requirement for a 180-day washout period and a registered general practitioner dispensing index entry systematically excludes individuals who initiated Metformin through informal channels, self-medication, or those with gaps in registration prior to treatment initiation. While these criteria enhance internal validity by ensuring a clean exposure window, they inevitably restrict the cohort to patients who have established continuous primary care contact, potentially limiting the representativeness of the findings for the entire diabetic population, particularly those with more advanced disease or fragmented care pathways who may experience higher cardiovascular risk.</w:t>
      </w:r>
    </w:p>
    <w:p>
      <w:r>
        <w:t>Information bias arising from data source constraints presents a significant challenge to the accuracy of exposure and outcome classification. Exposure misclassification is a distinct possibility because the CPRD captures drug dispensing records rather than verified actual consumption. This discrepancy implies that some patients may have received but not taken the prescribed Metformin, while others may have purchased medication outside the practice or discontinued use without updating the record. Such misclassification, if differential between treatment groups, could bias the risk estimates. Furthermore, outcome misclassification regarding MACE is contingent upon the completeness of coding in primary care records. Unlike hospital discharge data, the capture of serious adverse events such as myocardial infarction or ischemic stroke relies entirely on the accuracy of ICD-10 codes recorded by general practitioners. Under-reporting or coding errors specific to less severe events or events occurring in outpatient settings could lead to non-differential misclassification, diluting the observed treatment effect, or differential misclassification if coding vigilance varies by practice or prescriber. Additionally, covariate misclassification exists as administrative data lacks granular clinical measurements not routinely entered into practice management software. Variables critical to cardiovascular risk stratification, such as body mass index, detailed smoking history, specific dietary habits, and nuanced markers of disease severity, are often absent or incompletely recorded. Furthermore, socioeconomic status variables beyond basic deprivation indices are generally unavailable, and these unmeasured factors are potent confounders for cardiovascular outcomes.</w:t>
      </w:r>
    </w:p>
    <w:p>
      <w:r>
        <w:t>These data limitations engender a risk of residual confounding despite the extensive adjustment planned for baseline covariates available within the CPRD. Specifically, unmeasured confounding by factors such as medication adherence levels, health literacy, and genetic predispositions cannot be fully addressed through statistical adjustment. Channeling bias remains a theoretical concern, as prescribers may preferentially initiate Metformin in patients they perceive as having higher cardiovascular risk or better renal function compared to alternative therapies, although the new-user design attempts to isolate the drug effect. Finally, the generalizability of these findings to other geographic regions or healthcare systems outside the United Kingdom is constrained by the unique organization of the UK healthcare system, which includes universal coverage and centralized referral pathways that differ significantly from commercial insurance models found in the United States or mixed systems in Europe. The study period is also restricted to the temporal window of the CPRD data availability, meaning findings may not reflect evolving patterns in diabetes management or emerging cardiovascular risks not captured during the specific accrual period.</w:t>
      </w:r>
    </w:p>
    <w:p/>
    <w:p>
      <w:pPr>
        <w:pStyle w:val="Heading1"/>
      </w:pPr>
      <w:r>
        <w:t>10. Ethical Considerations</w:t>
      </w:r>
    </w:p>
    <w:p>
      <w:r>
        <w:t>This study utilizes de-identified administrative claims data extracted from the UK Clinical Practice Research Datalink (CPRD) and does not involve direct contact with human subjects or the collection of identifiable personal information. Consequently, no Informed Consent was required for this investigation. The study protocol was reviewed and approved by the relevant Institutional Review Board, which determined that the research is exempt from full review under applicable regulations regarding the use of anonymized data for scientific inquiry. A comprehensive Data Use Agreement (DUA) was established and executed with the CPRD vendor prior to data extraction, ensuring strict adherence to the Data Protection Act 2018 and the General Data Protection Regulation (GDPR). All data handling procedures comply with United Kingdom national laws and international ethical standards. The dataset was received as fully de-identified; no unique identifiers, such as National Health Service numbers, were available to the research team. Access to the raw data was restricted to authorized researchers who signed confidentiality agreements and operated within a secure, restricted-access environment. No identifiable data was stored or transferred outside the authorized secure environment, and all electronic data were protected by robust encryption and access controls throughout the study duration. Furthermore, the study protocol was registered in the European Public Assessment Report (EU PAS) register prior to the initiation of statistical analysis, ensuring transparency and alignment with European Medicines Agency guidelines. This registration serves to document the pre-specified objectives, methods, and endpoints, thereby preventing data dredging and bias in the interpretation of the association between Metformin use and Major Adverse Cardiovascular Events. The researchers confirm that the study design adheres to the Declaration of Helsinki and the Principles of Good Pharmacovigilance Practice, prioritizing the protection of patient privacy and the integrity of the scientific process within the United Kingdom regulatory jurisdiction.</w:t>
      </w:r>
    </w:p>
    <w:p/>
    <w:p>
      <w:pPr>
        <w:pStyle w:val="Heading1"/>
      </w:pPr>
      <w:r>
        <w:t>Appendix A: Code 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