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7F7F7F"/>
          <w:sz w:val="22"/>
          <w:szCs w:val="22"/>
        </w:rPr>
        <w:t xml:space="preserve">PROJECT 2 — GOVERNANCE, ETHICS AND STRATEGIC ROADMAP</w:t>
      </w:r>
    </w:p>
    <w:p>
      <w:pPr>
        <w:spacing w:after="240" w:before="220"/>
        <w:jc w:val="center"/>
      </w:pPr>
      <w:r>
        <w:rPr>
          <w:b/>
          <w:bCs/>
          <w:color w:val="0A2540"/>
          <w:sz w:val="48"/>
          <w:szCs w:val="48"/>
        </w:rPr>
        <w:t xml:space="preserve">Intelligent Data Center
Digital Twin Ecosystem</w:t>
      </w:r>
    </w:p>
    <w:p>
      <w:pPr>
        <w:spacing w:after="460"/>
        <w:jc w:val="center"/>
      </w:pPr>
      <w:r>
        <w:rPr>
          <w:color w:val="595959"/>
          <w:sz w:val="22"/>
          <w:szCs w:val="22"/>
        </w:rPr>
        <w:t xml:space="preserve">Cybersecurity · ROI Analysis · Algorithmic Transparency · Bias Mitigation · Deployment Roadmap</w:t>
      </w:r>
    </w:p>
    <w:tbl>
      <w:tblPr>
        <w:tblW w:type="dxa" w:w="9000"/>
        <w:tblBorders>
          <w:top w:val="single" w:color="0A2540" w:sz="4"/>
          <w:left w:val="single" w:color="0A2540" w:sz="18"/>
          <w:bottom w:val="single" w:color="0A2540" w:sz="4"/>
          <w:right w:val="single" w:color="0A2540" w:sz="4"/>
          <w:insideH w:val="single" w:color="auto" w:sz="4"/>
          <w:insideV w:val="single" w:color="auto" w:sz="4"/>
        </w:tblBorders>
      </w:tblPr>
      <w:tblGrid>
        <w:gridCol w:w="9000"/>
      </w:tblGrid>
      <w:tr>
        <w:tc>
          <w:tcPr>
            <w:tcW w:type="dxa" w:w="9000"/>
            <w:shd w:fill="DCE6F1" w:color="auto" w:val="clear"/>
            <w:tcMar>
              <w:top w:type="dxa" w:w="130"/>
              <w:left w:type="dxa" w:w="170"/>
              <w:bottom w:type="dxa" w:w="130"/>
              <w:right w:type="dxa" w:w="140"/>
            </w:tcMar>
          </w:tcPr>
          <w:p>
            <w:r>
              <w:rPr>
                <w:b/>
                <w:bCs/>
                <w:sz w:val="21"/>
                <w:szCs w:val="21"/>
              </w:rPr>
              <w:t xml:space="preserve">This document addresses two Key Tasks: Governance &amp; Ethics (Part A) and Strategic Roadmap (Part B). Financial figures are illustrative assumptions for planning purposes and are labelled as such throughout. Measured system results are labelled MEASURED and are reproducible from the committed notebook.</w:t>
            </w:r>
          </w:p>
        </w:tc>
      </w:tr>
    </w:tbl>
    <w:p>
      <w:r>
        <w:br w:type="page"/>
      </w:r>
    </w:p>
    <w:p>
      <w:pPr>
        <w:pStyle w:val="Heading1"/>
        <w:spacing w:after="160" w:before="320"/>
      </w:pPr>
      <w:r>
        <w:rPr>
          <w:b/>
          <w:bCs/>
          <w:color w:val="0A2540"/>
          <w:sz w:val="30"/>
          <w:szCs w:val="30"/>
        </w:rPr>
        <w:t xml:space="preserve">Contents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3600"/>
        <w:gridCol w:w="4500"/>
      </w:tblGrid>
      <w:tr>
        <w:trPr>
          <w:tblHeader/>
        </w:trPr>
        <w:tc>
          <w:tcPr>
            <w:tcW w:type="dxa" w:w="900"/>
            <w:shd w:fill="DCE6F1" w:color="auto" w:val="clear"/>
            <w:tcMar>
              <w:top w:type="dxa" w:w="70"/>
              <w:left w:type="dxa" w:w="110"/>
              <w:bottom w:type="dxa" w:w="70"/>
              <w:right w:type="dxa" w:w="110"/>
            </w:tcMar>
          </w:tcPr>
          <w:p>
            <w:pPr>
              <w:spacing w:after="20" w:before="20"/>
            </w:pPr>
            <w:r>
              <w:rPr>
                <w:b/>
                <w:bCs/>
                <w:sz w:val="19"/>
                <w:szCs w:val="19"/>
              </w:rPr>
              <w:t xml:space="preserve">§</w:t>
            </w:r>
          </w:p>
        </w:tc>
        <w:tc>
          <w:tcPr>
            <w:tcW w:type="dxa" w:w="3600"/>
            <w:shd w:fill="DCE6F1" w:color="auto" w:val="clear"/>
            <w:tcMar>
              <w:top w:type="dxa" w:w="70"/>
              <w:left w:type="dxa" w:w="110"/>
              <w:bottom w:type="dxa" w:w="70"/>
              <w:right w:type="dxa" w:w="110"/>
            </w:tcMar>
          </w:tcPr>
          <w:p>
            <w:pPr>
              <w:spacing w:after="20" w:before="20"/>
            </w:pPr>
            <w:r>
              <w:rPr>
                <w:b/>
                <w:bCs/>
                <w:sz w:val="19"/>
                <w:szCs w:val="19"/>
              </w:rPr>
              <w:t xml:space="preserve">Section</w:t>
            </w:r>
          </w:p>
        </w:tc>
        <w:tc>
          <w:tcPr>
            <w:tcW w:type="dxa" w:w="4500"/>
            <w:shd w:fill="DCE6F1" w:color="auto" w:val="clear"/>
            <w:tcMar>
              <w:top w:type="dxa" w:w="70"/>
              <w:left w:type="dxa" w:w="110"/>
              <w:bottom w:type="dxa" w:w="70"/>
              <w:right w:type="dxa" w:w="110"/>
            </w:tcMar>
          </w:tcPr>
          <w:p>
            <w:pPr>
              <w:spacing w:after="20" w:before="20"/>
            </w:pPr>
            <w:r>
              <w:rPr>
                <w:b/>
                <w:bCs/>
                <w:sz w:val="19"/>
                <w:szCs w:val="19"/>
              </w:rPr>
              <w:t xml:space="preserve">Covers</w:t>
            </w:r>
          </w:p>
        </w:tc>
      </w:tr>
      <w:tr>
        <w:trPr>
          <w:tblHeader w:val="false"/>
        </w:trPr>
        <w:tc>
          <w:tcPr>
            <w:tcW w:type="dxa" w:w="900"/>
            <w:tcMar>
              <w:top w:type="dxa" w:w="70"/>
              <w:left w:type="dxa" w:w="110"/>
              <w:bottom w:type="dxa" w:w="70"/>
              <w:right w:type="dxa" w:w="110"/>
            </w:tcMar>
          </w:tcPr>
          <w:p>
            <w:pPr>
              <w:spacing w:after="20" w:before="20"/>
            </w:pPr>
            <w:r>
              <w:rPr>
                <w:b w:val="false"/>
                <w:bCs w:val="false"/>
                <w:sz w:val="19"/>
                <w:szCs w:val="19"/>
              </w:rPr>
              <w:t xml:space="preserve">A1</w:t>
            </w:r>
          </w:p>
        </w:tc>
        <w:tc>
          <w:tcPr>
            <w:tcW w:type="dxa" w:w="3600"/>
            <w:tcMar>
              <w:top w:type="dxa" w:w="70"/>
              <w:left w:type="dxa" w:w="110"/>
              <w:bottom w:type="dxa" w:w="70"/>
              <w:right w:type="dxa" w:w="110"/>
            </w:tcMar>
          </w:tcPr>
          <w:p>
            <w:pPr>
              <w:spacing w:after="20" w:before="20"/>
            </w:pPr>
            <w:r>
              <w:rPr>
                <w:b w:val="false"/>
                <w:bCs w:val="false"/>
                <w:sz w:val="19"/>
                <w:szCs w:val="19"/>
              </w:rPr>
              <w:t xml:space="preserve">Threat model</w:t>
            </w:r>
          </w:p>
        </w:tc>
        <w:tc>
          <w:tcPr>
            <w:tcW w:type="dxa" w:w="4500"/>
            <w:tcMar>
              <w:top w:type="dxa" w:w="70"/>
              <w:left w:type="dxa" w:w="110"/>
              <w:bottom w:type="dxa" w:w="70"/>
              <w:right w:type="dxa" w:w="110"/>
            </w:tcMar>
          </w:tcPr>
          <w:p>
            <w:pPr>
              <w:spacing w:after="20" w:before="20"/>
            </w:pPr>
            <w:r>
              <w:rPr>
                <w:b w:val="false"/>
                <w:bCs w:val="false"/>
                <w:sz w:val="19"/>
                <w:szCs w:val="19"/>
              </w:rPr>
              <w:t xml:space="preserve">What an attacker could do to a decision-support twin</w:t>
            </w:r>
          </w:p>
        </w:tc>
      </w:tr>
      <w:tr>
        <w:trPr>
          <w:tblHeader w:val="false"/>
        </w:trPr>
        <w:tc>
          <w:tcPr>
            <w:tcW w:type="dxa" w:w="900"/>
            <w:tcMar>
              <w:top w:type="dxa" w:w="70"/>
              <w:left w:type="dxa" w:w="110"/>
              <w:bottom w:type="dxa" w:w="70"/>
              <w:right w:type="dxa" w:w="110"/>
            </w:tcMar>
          </w:tcPr>
          <w:p>
            <w:pPr>
              <w:spacing w:after="20" w:before="20"/>
            </w:pPr>
            <w:r>
              <w:rPr>
                <w:b w:val="false"/>
                <w:bCs w:val="false"/>
                <w:sz w:val="19"/>
                <w:szCs w:val="19"/>
              </w:rPr>
              <w:t xml:space="preserve">A2</w:t>
            </w:r>
          </w:p>
        </w:tc>
        <w:tc>
          <w:tcPr>
            <w:tcW w:type="dxa" w:w="3600"/>
            <w:tcMar>
              <w:top w:type="dxa" w:w="70"/>
              <w:left w:type="dxa" w:w="110"/>
              <w:bottom w:type="dxa" w:w="70"/>
              <w:right w:type="dxa" w:w="110"/>
            </w:tcMar>
          </w:tcPr>
          <w:p>
            <w:pPr>
              <w:spacing w:after="20" w:before="20"/>
            </w:pPr>
            <w:r>
              <w:rPr>
                <w:b w:val="false"/>
                <w:bCs w:val="false"/>
                <w:sz w:val="19"/>
                <w:szCs w:val="19"/>
              </w:rPr>
              <w:t xml:space="preserve">Cybersecurity measures</w:t>
            </w:r>
          </w:p>
        </w:tc>
        <w:tc>
          <w:tcPr>
            <w:tcW w:type="dxa" w:w="4500"/>
            <w:tcMar>
              <w:top w:type="dxa" w:w="70"/>
              <w:left w:type="dxa" w:w="110"/>
              <w:bottom w:type="dxa" w:w="70"/>
              <w:right w:type="dxa" w:w="110"/>
            </w:tcMar>
          </w:tcPr>
          <w:p>
            <w:pPr>
              <w:spacing w:after="20" w:before="20"/>
            </w:pPr>
            <w:r>
              <w:rPr>
                <w:b w:val="false"/>
                <w:bCs w:val="false"/>
                <w:sz w:val="19"/>
                <w:szCs w:val="19"/>
              </w:rPr>
              <w:t xml:space="preserve">Controls, implementation status, verification method</w:t>
            </w:r>
          </w:p>
        </w:tc>
      </w:tr>
      <w:tr>
        <w:trPr>
          <w:tblHeader w:val="false"/>
        </w:trPr>
        <w:tc>
          <w:tcPr>
            <w:tcW w:type="dxa" w:w="900"/>
            <w:tcMar>
              <w:top w:type="dxa" w:w="70"/>
              <w:left w:type="dxa" w:w="110"/>
              <w:bottom w:type="dxa" w:w="70"/>
              <w:right w:type="dxa" w:w="110"/>
            </w:tcMar>
          </w:tcPr>
          <w:p>
            <w:pPr>
              <w:spacing w:after="20" w:before="20"/>
            </w:pPr>
            <w:r>
              <w:rPr>
                <w:b w:val="false"/>
                <w:bCs w:val="false"/>
                <w:sz w:val="19"/>
                <w:szCs w:val="19"/>
              </w:rPr>
              <w:t xml:space="preserve">A3</w:t>
            </w:r>
          </w:p>
        </w:tc>
        <w:tc>
          <w:tcPr>
            <w:tcW w:type="dxa" w:w="3600"/>
            <w:tcMar>
              <w:top w:type="dxa" w:w="70"/>
              <w:left w:type="dxa" w:w="110"/>
              <w:bottom w:type="dxa" w:w="70"/>
              <w:right w:type="dxa" w:w="110"/>
            </w:tcMar>
          </w:tcPr>
          <w:p>
            <w:pPr>
              <w:spacing w:after="20" w:before="20"/>
            </w:pPr>
            <w:r>
              <w:rPr>
                <w:b w:val="false"/>
                <w:bCs w:val="false"/>
                <w:sz w:val="19"/>
                <w:szCs w:val="19"/>
              </w:rPr>
              <w:t xml:space="preserve">Algorithmic transparency</w:t>
            </w:r>
          </w:p>
        </w:tc>
        <w:tc>
          <w:tcPr>
            <w:tcW w:type="dxa" w:w="4500"/>
            <w:tcMar>
              <w:top w:type="dxa" w:w="70"/>
              <w:left w:type="dxa" w:w="110"/>
              <w:bottom w:type="dxa" w:w="70"/>
              <w:right w:type="dxa" w:w="110"/>
            </w:tcMar>
          </w:tcPr>
          <w:p>
            <w:pPr>
              <w:spacing w:after="20" w:before="20"/>
            </w:pPr>
            <w:r>
              <w:rPr>
                <w:b w:val="false"/>
                <w:bCs w:val="false"/>
                <w:sz w:val="19"/>
                <w:szCs w:val="19"/>
              </w:rPr>
              <w:t xml:space="preserve">What the system exposes per prediction</w:t>
            </w:r>
          </w:p>
        </w:tc>
      </w:tr>
      <w:tr>
        <w:trPr>
          <w:tblHeader w:val="false"/>
        </w:trPr>
        <w:tc>
          <w:tcPr>
            <w:tcW w:type="dxa" w:w="900"/>
            <w:tcMar>
              <w:top w:type="dxa" w:w="70"/>
              <w:left w:type="dxa" w:w="110"/>
              <w:bottom w:type="dxa" w:w="70"/>
              <w:right w:type="dxa" w:w="110"/>
            </w:tcMar>
          </w:tcPr>
          <w:p>
            <w:pPr>
              <w:spacing w:after="20" w:before="20"/>
            </w:pPr>
            <w:r>
              <w:rPr>
                <w:b w:val="false"/>
                <w:bCs w:val="false"/>
                <w:sz w:val="19"/>
                <w:szCs w:val="19"/>
              </w:rPr>
              <w:t xml:space="preserve">A4</w:t>
            </w:r>
          </w:p>
        </w:tc>
        <w:tc>
          <w:tcPr>
            <w:tcW w:type="dxa" w:w="3600"/>
            <w:tcMar>
              <w:top w:type="dxa" w:w="70"/>
              <w:left w:type="dxa" w:w="110"/>
              <w:bottom w:type="dxa" w:w="70"/>
              <w:right w:type="dxa" w:w="110"/>
            </w:tcMar>
          </w:tcPr>
          <w:p>
            <w:pPr>
              <w:spacing w:after="20" w:before="20"/>
            </w:pPr>
            <w:r>
              <w:rPr>
                <w:b w:val="false"/>
                <w:bCs w:val="false"/>
                <w:sz w:val="19"/>
                <w:szCs w:val="19"/>
              </w:rPr>
              <w:t xml:space="preserve">Bias mitigation</w:t>
            </w:r>
          </w:p>
        </w:tc>
        <w:tc>
          <w:tcPr>
            <w:tcW w:type="dxa" w:w="4500"/>
            <w:tcMar>
              <w:top w:type="dxa" w:w="70"/>
              <w:left w:type="dxa" w:w="110"/>
              <w:bottom w:type="dxa" w:w="70"/>
              <w:right w:type="dxa" w:w="110"/>
            </w:tcMar>
          </w:tcPr>
          <w:p>
            <w:pPr>
              <w:spacing w:after="20" w:before="20"/>
            </w:pPr>
            <w:r>
              <w:rPr>
                <w:b w:val="false"/>
                <w:bCs w:val="false"/>
                <w:sz w:val="19"/>
                <w:szCs w:val="19"/>
              </w:rPr>
              <w:t xml:space="preserve">Distributional limits and how they are managed</w:t>
            </w:r>
          </w:p>
        </w:tc>
      </w:tr>
      <w:tr>
        <w:trPr>
          <w:tblHeader w:val="false"/>
        </w:trPr>
        <w:tc>
          <w:tcPr>
            <w:tcW w:type="dxa" w:w="900"/>
            <w:tcMar>
              <w:top w:type="dxa" w:w="70"/>
              <w:left w:type="dxa" w:w="110"/>
              <w:bottom w:type="dxa" w:w="70"/>
              <w:right w:type="dxa" w:w="110"/>
            </w:tcMar>
          </w:tcPr>
          <w:p>
            <w:pPr>
              <w:spacing w:after="20" w:before="20"/>
            </w:pPr>
            <w:r>
              <w:rPr>
                <w:b w:val="false"/>
                <w:bCs w:val="false"/>
                <w:sz w:val="19"/>
                <w:szCs w:val="19"/>
              </w:rPr>
              <w:t xml:space="preserve">A5</w:t>
            </w:r>
          </w:p>
        </w:tc>
        <w:tc>
          <w:tcPr>
            <w:tcW w:type="dxa" w:w="3600"/>
            <w:tcMar>
              <w:top w:type="dxa" w:w="70"/>
              <w:left w:type="dxa" w:w="110"/>
              <w:bottom w:type="dxa" w:w="70"/>
              <w:right w:type="dxa" w:w="110"/>
            </w:tcMar>
          </w:tcPr>
          <w:p>
            <w:pPr>
              <w:spacing w:after="20" w:before="20"/>
            </w:pPr>
            <w:r>
              <w:rPr>
                <w:b w:val="false"/>
                <w:bCs w:val="false"/>
                <w:sz w:val="19"/>
                <w:szCs w:val="19"/>
              </w:rPr>
              <w:t xml:space="preserve">Human oversight</w:t>
            </w:r>
          </w:p>
        </w:tc>
        <w:tc>
          <w:tcPr>
            <w:tcW w:type="dxa" w:w="4500"/>
            <w:tcMar>
              <w:top w:type="dxa" w:w="70"/>
              <w:left w:type="dxa" w:w="110"/>
              <w:bottom w:type="dxa" w:w="70"/>
              <w:right w:type="dxa" w:w="110"/>
            </w:tcMar>
          </w:tcPr>
          <w:p>
            <w:pPr>
              <w:spacing w:after="20" w:before="20"/>
            </w:pPr>
            <w:r>
              <w:rPr>
                <w:b w:val="false"/>
                <w:bCs w:val="false"/>
                <w:sz w:val="19"/>
                <w:szCs w:val="19"/>
              </w:rPr>
              <w:t xml:space="preserve">Why nothing actuates automatically</w:t>
            </w:r>
          </w:p>
        </w:tc>
      </w:tr>
      <w:tr>
        <w:trPr>
          <w:tblHeader w:val="false"/>
        </w:trPr>
        <w:tc>
          <w:tcPr>
            <w:tcW w:type="dxa" w:w="900"/>
            <w:tcMar>
              <w:top w:type="dxa" w:w="70"/>
              <w:left w:type="dxa" w:w="110"/>
              <w:bottom w:type="dxa" w:w="70"/>
              <w:right w:type="dxa" w:w="110"/>
            </w:tcMar>
          </w:tcPr>
          <w:p>
            <w:pPr>
              <w:spacing w:after="20" w:before="20"/>
            </w:pPr>
            <w:r>
              <w:rPr>
                <w:b w:val="false"/>
                <w:bCs w:val="false"/>
                <w:sz w:val="19"/>
                <w:szCs w:val="19"/>
              </w:rPr>
              <w:t xml:space="preserve">B1</w:t>
            </w:r>
          </w:p>
        </w:tc>
        <w:tc>
          <w:tcPr>
            <w:tcW w:type="dxa" w:w="3600"/>
            <w:tcMar>
              <w:top w:type="dxa" w:w="70"/>
              <w:left w:type="dxa" w:w="110"/>
              <w:bottom w:type="dxa" w:w="70"/>
              <w:right w:type="dxa" w:w="110"/>
            </w:tcMar>
          </w:tcPr>
          <w:p>
            <w:pPr>
              <w:spacing w:after="20" w:before="20"/>
            </w:pPr>
            <w:r>
              <w:rPr>
                <w:b w:val="false"/>
                <w:bCs w:val="false"/>
                <w:sz w:val="19"/>
                <w:szCs w:val="19"/>
              </w:rPr>
              <w:t xml:space="preserve">ROI analysis</w:t>
            </w:r>
          </w:p>
        </w:tc>
        <w:tc>
          <w:tcPr>
            <w:tcW w:type="dxa" w:w="4500"/>
            <w:tcMar>
              <w:top w:type="dxa" w:w="70"/>
              <w:left w:type="dxa" w:w="110"/>
              <w:bottom w:type="dxa" w:w="70"/>
              <w:right w:type="dxa" w:w="110"/>
            </w:tcMar>
          </w:tcPr>
          <w:p>
            <w:pPr>
              <w:spacing w:after="20" w:before="20"/>
            </w:pPr>
            <w:r>
              <w:rPr>
                <w:b w:val="false"/>
                <w:bCs w:val="false"/>
                <w:sz w:val="19"/>
                <w:szCs w:val="19"/>
              </w:rPr>
              <w:t xml:space="preserve">Benefits, costs, payback, sensitivity</w:t>
            </w:r>
          </w:p>
        </w:tc>
      </w:tr>
      <w:tr>
        <w:trPr>
          <w:tblHeader w:val="false"/>
        </w:trPr>
        <w:tc>
          <w:tcPr>
            <w:tcW w:type="dxa" w:w="900"/>
            <w:tcMar>
              <w:top w:type="dxa" w:w="70"/>
              <w:left w:type="dxa" w:w="110"/>
              <w:bottom w:type="dxa" w:w="70"/>
              <w:right w:type="dxa" w:w="110"/>
            </w:tcMar>
          </w:tcPr>
          <w:p>
            <w:pPr>
              <w:spacing w:after="20" w:before="20"/>
            </w:pPr>
            <w:r>
              <w:rPr>
                <w:b w:val="false"/>
                <w:bCs w:val="false"/>
                <w:sz w:val="19"/>
                <w:szCs w:val="19"/>
              </w:rPr>
              <w:t xml:space="preserve">B2</w:t>
            </w:r>
          </w:p>
        </w:tc>
        <w:tc>
          <w:tcPr>
            <w:tcW w:type="dxa" w:w="3600"/>
            <w:tcMar>
              <w:top w:type="dxa" w:w="70"/>
              <w:left w:type="dxa" w:w="110"/>
              <w:bottom w:type="dxa" w:w="70"/>
              <w:right w:type="dxa" w:w="110"/>
            </w:tcMar>
          </w:tcPr>
          <w:p>
            <w:pPr>
              <w:spacing w:after="20" w:before="20"/>
            </w:pPr>
            <w:r>
              <w:rPr>
                <w:b w:val="false"/>
                <w:bCs w:val="false"/>
                <w:sz w:val="19"/>
                <w:szCs w:val="19"/>
              </w:rPr>
              <w:t xml:space="preserve">Deployment roadmap</w:t>
            </w:r>
          </w:p>
        </w:tc>
        <w:tc>
          <w:tcPr>
            <w:tcW w:type="dxa" w:w="4500"/>
            <w:tcMar>
              <w:top w:type="dxa" w:w="70"/>
              <w:left w:type="dxa" w:w="110"/>
              <w:bottom w:type="dxa" w:w="70"/>
              <w:right w:type="dxa" w:w="110"/>
            </w:tcMar>
          </w:tcPr>
          <w:p>
            <w:pPr>
              <w:spacing w:after="20" w:before="20"/>
            </w:pPr>
            <w:r>
              <w:rPr>
                <w:b w:val="false"/>
                <w:bCs w:val="false"/>
                <w:sz w:val="19"/>
                <w:szCs w:val="19"/>
              </w:rPr>
              <w:t xml:space="preserve">Five phases from prototype to bounded autonomy</w:t>
            </w:r>
          </w:p>
        </w:tc>
      </w:tr>
      <w:tr>
        <w:trPr>
          <w:tblHeader w:val="false"/>
        </w:trPr>
        <w:tc>
          <w:tcPr>
            <w:tcW w:type="dxa" w:w="900"/>
            <w:tcMar>
              <w:top w:type="dxa" w:w="70"/>
              <w:left w:type="dxa" w:w="110"/>
              <w:bottom w:type="dxa" w:w="70"/>
              <w:right w:type="dxa" w:w="110"/>
            </w:tcMar>
          </w:tcPr>
          <w:p>
            <w:pPr>
              <w:spacing w:after="20" w:before="20"/>
            </w:pPr>
            <w:r>
              <w:rPr>
                <w:b w:val="false"/>
                <w:bCs w:val="false"/>
                <w:sz w:val="19"/>
                <w:szCs w:val="19"/>
              </w:rPr>
              <w:t xml:space="preserve">B3</w:t>
            </w:r>
          </w:p>
        </w:tc>
        <w:tc>
          <w:tcPr>
            <w:tcW w:type="dxa" w:w="3600"/>
            <w:tcMar>
              <w:top w:type="dxa" w:w="70"/>
              <w:left w:type="dxa" w:w="110"/>
              <w:bottom w:type="dxa" w:w="70"/>
              <w:right w:type="dxa" w:w="110"/>
            </w:tcMar>
          </w:tcPr>
          <w:p>
            <w:pPr>
              <w:spacing w:after="20" w:before="20"/>
            </w:pPr>
            <w:r>
              <w:rPr>
                <w:b w:val="false"/>
                <w:bCs w:val="false"/>
                <w:sz w:val="19"/>
                <w:szCs w:val="19"/>
              </w:rPr>
              <w:t xml:space="preserve">Risks to the business case</w:t>
            </w:r>
          </w:p>
        </w:tc>
        <w:tc>
          <w:tcPr>
            <w:tcW w:type="dxa" w:w="4500"/>
            <w:tcMar>
              <w:top w:type="dxa" w:w="70"/>
              <w:left w:type="dxa" w:w="110"/>
              <w:bottom w:type="dxa" w:w="70"/>
              <w:right w:type="dxa" w:w="110"/>
            </w:tcMar>
          </w:tcPr>
          <w:p>
            <w:pPr>
              <w:spacing w:after="20" w:before="20"/>
            </w:pPr>
            <w:r>
              <w:rPr>
                <w:b w:val="false"/>
                <w:bCs w:val="false"/>
                <w:sz w:val="19"/>
                <w:szCs w:val="19"/>
              </w:rPr>
              <w:t xml:space="preserve">What would change the recommendation</w:t>
            </w:r>
          </w:p>
        </w:tc>
      </w:tr>
    </w:tbl>
    <w:p>
      <w:r>
        <w:br w:type="page"/>
      </w:r>
    </w:p>
    <w:p>
      <w:pPr>
        <w:pStyle w:val="Heading1"/>
        <w:spacing w:after="160" w:before="320"/>
      </w:pPr>
      <w:r>
        <w:rPr>
          <w:b/>
          <w:bCs/>
          <w:color w:val="0A2540"/>
          <w:sz w:val="30"/>
          <w:szCs w:val="30"/>
        </w:rPr>
        <w:t xml:space="preserve">Part A — Governance and Ethics</w:t>
      </w:r>
    </w:p>
    <w:p>
      <w:pPr>
        <w:pStyle w:val="Heading2"/>
        <w:spacing w:after="110" w:before="220"/>
      </w:pPr>
      <w:r>
        <w:rPr>
          <w:b/>
          <w:bCs/>
          <w:color w:val="0A2540"/>
          <w:sz w:val="24"/>
          <w:szCs w:val="24"/>
        </w:rPr>
        <w:t xml:space="preserve">A1. Threat model</w:t>
      </w:r>
    </w:p>
    <w:p>
      <w:pPr>
        <w:spacing w:after="120" w:before="60"/>
      </w:pPr>
      <w:r>
        <w:rPr>
          <w:sz w:val="21"/>
          <w:szCs w:val="21"/>
        </w:rPr>
        <w:t xml:space="preserve">The system is decision support: it tells a human what is failing and what to do about it. Its security value therefore rests on the integrity of the advice, not only on the confidentiality of the data. The threats below are ordered by consequence.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3600"/>
        <w:gridCol w:w="3060"/>
      </w:tblGrid>
      <w:tr>
        <w:trPr>
          <w:tblHeader/>
        </w:trPr>
        <w:tc>
          <w:tcPr>
            <w:tcW w:type="dxa" w:w="2340"/>
            <w:shd w:fill="DCE6F1" w:color="auto" w:val="clear"/>
            <w:tcMar>
              <w:top w:type="dxa" w:w="70"/>
              <w:left w:type="dxa" w:w="110"/>
              <w:bottom w:type="dxa" w:w="70"/>
              <w:right w:type="dxa" w:w="110"/>
            </w:tcMar>
          </w:tcPr>
          <w:p>
            <w:pPr>
              <w:spacing w:after="20" w:before="20"/>
            </w:pPr>
            <w:r>
              <w:rPr>
                <w:b/>
                <w:bCs/>
                <w:sz w:val="19"/>
                <w:szCs w:val="19"/>
              </w:rPr>
              <w:t xml:space="preserve">Threat</w:t>
            </w:r>
          </w:p>
        </w:tc>
        <w:tc>
          <w:tcPr>
            <w:tcW w:type="dxa" w:w="3600"/>
            <w:shd w:fill="DCE6F1" w:color="auto" w:val="clear"/>
            <w:tcMar>
              <w:top w:type="dxa" w:w="70"/>
              <w:left w:type="dxa" w:w="110"/>
              <w:bottom w:type="dxa" w:w="70"/>
              <w:right w:type="dxa" w:w="110"/>
            </w:tcMar>
          </w:tcPr>
          <w:p>
            <w:pPr>
              <w:spacing w:after="20" w:before="20"/>
            </w:pPr>
            <w:r>
              <w:rPr>
                <w:b/>
                <w:bCs/>
                <w:sz w:val="19"/>
                <w:szCs w:val="19"/>
              </w:rPr>
              <w:t xml:space="preserve">How it would work</w:t>
            </w:r>
          </w:p>
        </w:tc>
        <w:tc>
          <w:tcPr>
            <w:tcW w:type="dxa" w:w="3060"/>
            <w:shd w:fill="DCE6F1" w:color="auto" w:val="clear"/>
            <w:tcMar>
              <w:top w:type="dxa" w:w="70"/>
              <w:left w:type="dxa" w:w="110"/>
              <w:bottom w:type="dxa" w:w="70"/>
              <w:right w:type="dxa" w:w="110"/>
            </w:tcMar>
          </w:tcPr>
          <w:p>
            <w:pPr>
              <w:spacing w:after="20" w:before="20"/>
            </w:pPr>
            <w:r>
              <w:rPr>
                <w:b/>
                <w:bCs/>
                <w:sz w:val="19"/>
                <w:szCs w:val="19"/>
              </w:rPr>
              <w:t xml:space="preserve">Consequence</w:t>
            </w:r>
          </w:p>
        </w:tc>
      </w:tr>
      <w:tr>
        <w:trPr>
          <w:tblHeader w:val="false"/>
        </w:trPr>
        <w:tc>
          <w:tcPr>
            <w:tcW w:type="dxa" w:w="2340"/>
            <w:tcMar>
              <w:top w:type="dxa" w:w="70"/>
              <w:left w:type="dxa" w:w="110"/>
              <w:bottom w:type="dxa" w:w="70"/>
              <w:right w:type="dxa" w:w="110"/>
            </w:tcMar>
          </w:tcPr>
          <w:p>
            <w:pPr>
              <w:spacing w:after="20" w:before="20"/>
            </w:pPr>
            <w:r>
              <w:rPr>
                <w:b w:val="false"/>
                <w:bCs w:val="false"/>
                <w:sz w:val="19"/>
                <w:szCs w:val="19"/>
              </w:rPr>
              <w:t xml:space="preserve">Forged recommendation</w:t>
            </w:r>
          </w:p>
        </w:tc>
        <w:tc>
          <w:tcPr>
            <w:tcW w:type="dxa" w:w="3600"/>
            <w:tcMar>
              <w:top w:type="dxa" w:w="70"/>
              <w:left w:type="dxa" w:w="110"/>
              <w:bottom w:type="dxa" w:w="70"/>
              <w:right w:type="dxa" w:w="110"/>
            </w:tcMar>
          </w:tcPr>
          <w:p>
            <w:pPr>
              <w:spacing w:after="20" w:before="20"/>
            </w:pPr>
            <w:r>
              <w:rPr>
                <w:b w:val="false"/>
                <w:bCs w:val="false"/>
                <w:sz w:val="19"/>
                <w:szCs w:val="19"/>
              </w:rPr>
              <w:t xml:space="preserve">An attacker publishes to the recommendation topic</w:t>
            </w:r>
          </w:p>
        </w:tc>
        <w:tc>
          <w:tcPr>
            <w:tcW w:type="dxa" w:w="3060"/>
            <w:tcMar>
              <w:top w:type="dxa" w:w="70"/>
              <w:left w:type="dxa" w:w="110"/>
              <w:bottom w:type="dxa" w:w="70"/>
              <w:right w:type="dxa" w:w="110"/>
            </w:tcMar>
          </w:tcPr>
          <w:p>
            <w:pPr>
              <w:spacing w:after="20" w:before="20"/>
            </w:pPr>
            <w:r>
              <w:rPr>
                <w:b w:val="false"/>
                <w:bCs w:val="false"/>
                <w:sz w:val="19"/>
                <w:szCs w:val="19"/>
              </w:rPr>
              <w:t xml:space="preserve">A fabricated maintenance instruction reaches an engineer. Highest-consequence threat: it converts the system into an attack channel against staff.</w:t>
            </w:r>
          </w:p>
        </w:tc>
      </w:tr>
      <w:tr>
        <w:trPr>
          <w:tblHeader w:val="false"/>
        </w:trPr>
        <w:tc>
          <w:tcPr>
            <w:tcW w:type="dxa" w:w="2340"/>
            <w:tcMar>
              <w:top w:type="dxa" w:w="70"/>
              <w:left w:type="dxa" w:w="110"/>
              <w:bottom w:type="dxa" w:w="70"/>
              <w:right w:type="dxa" w:w="110"/>
            </w:tcMar>
          </w:tcPr>
          <w:p>
            <w:pPr>
              <w:spacing w:after="20" w:before="20"/>
            </w:pPr>
            <w:r>
              <w:rPr>
                <w:b w:val="false"/>
                <w:bCs w:val="false"/>
                <w:sz w:val="19"/>
                <w:szCs w:val="19"/>
              </w:rPr>
              <w:t xml:space="preserve">Spoofed telemetry</w:t>
            </w:r>
          </w:p>
        </w:tc>
        <w:tc>
          <w:tcPr>
            <w:tcW w:type="dxa" w:w="3600"/>
            <w:tcMar>
              <w:top w:type="dxa" w:w="70"/>
              <w:left w:type="dxa" w:w="110"/>
              <w:bottom w:type="dxa" w:w="70"/>
              <w:right w:type="dxa" w:w="110"/>
            </w:tcMar>
          </w:tcPr>
          <w:p>
            <w:pPr>
              <w:spacing w:after="20" w:before="20"/>
            </w:pPr>
            <w:r>
              <w:rPr>
                <w:b w:val="false"/>
                <w:bCs w:val="false"/>
                <w:sz w:val="19"/>
                <w:szCs w:val="19"/>
              </w:rPr>
              <w:t xml:space="preserve">False sensor readings published to a rack or CRAC topic</w:t>
            </w:r>
          </w:p>
        </w:tc>
        <w:tc>
          <w:tcPr>
            <w:tcW w:type="dxa" w:w="3060"/>
            <w:tcMar>
              <w:top w:type="dxa" w:w="70"/>
              <w:left w:type="dxa" w:w="110"/>
              <w:bottom w:type="dxa" w:w="70"/>
              <w:right w:type="dxa" w:w="110"/>
            </w:tcMar>
          </w:tcPr>
          <w:p>
            <w:pPr>
              <w:spacing w:after="20" w:before="20"/>
            </w:pPr>
            <w:r>
              <w:rPr>
                <w:b w:val="false"/>
                <w:bCs w:val="false"/>
                <w:sz w:val="19"/>
                <w:szCs w:val="19"/>
              </w:rPr>
              <w:t xml:space="preserve">The model predicts on fiction. Either a fabricated alarm wasting a callout, or masking a genuine developing fault.</w:t>
            </w:r>
          </w:p>
        </w:tc>
      </w:tr>
      <w:tr>
        <w:trPr>
          <w:tblHeader w:val="false"/>
        </w:trPr>
        <w:tc>
          <w:tcPr>
            <w:tcW w:type="dxa" w:w="2340"/>
            <w:tcMar>
              <w:top w:type="dxa" w:w="70"/>
              <w:left w:type="dxa" w:w="110"/>
              <w:bottom w:type="dxa" w:w="70"/>
              <w:right w:type="dxa" w:w="110"/>
            </w:tcMar>
          </w:tcPr>
          <w:p>
            <w:pPr>
              <w:spacing w:after="20" w:before="20"/>
            </w:pPr>
            <w:r>
              <w:rPr>
                <w:b w:val="false"/>
                <w:bCs w:val="false"/>
                <w:sz w:val="19"/>
                <w:szCs w:val="19"/>
              </w:rPr>
              <w:t xml:space="preserve">Suppressed telemetry</w:t>
            </w:r>
          </w:p>
        </w:tc>
        <w:tc>
          <w:tcPr>
            <w:tcW w:type="dxa" w:w="3600"/>
            <w:tcMar>
              <w:top w:type="dxa" w:w="70"/>
              <w:left w:type="dxa" w:w="110"/>
              <w:bottom w:type="dxa" w:w="70"/>
              <w:right w:type="dxa" w:w="110"/>
            </w:tcMar>
          </w:tcPr>
          <w:p>
            <w:pPr>
              <w:spacing w:after="20" w:before="20"/>
            </w:pPr>
            <w:r>
              <w:rPr>
                <w:b w:val="false"/>
                <w:bCs w:val="false"/>
                <w:sz w:val="19"/>
                <w:szCs w:val="19"/>
              </w:rPr>
              <w:t xml:space="preserve">An attacker withholds or blocks publication</w:t>
            </w:r>
          </w:p>
        </w:tc>
        <w:tc>
          <w:tcPr>
            <w:tcW w:type="dxa" w:w="3060"/>
            <w:tcMar>
              <w:top w:type="dxa" w:w="70"/>
              <w:left w:type="dxa" w:w="110"/>
              <w:bottom w:type="dxa" w:w="70"/>
              <w:right w:type="dxa" w:w="110"/>
            </w:tcMar>
          </w:tcPr>
          <w:p>
            <w:pPr>
              <w:spacing w:after="20" w:before="20"/>
            </w:pPr>
            <w:r>
              <w:rPr>
                <w:b w:val="false"/>
                <w:bCs w:val="false"/>
                <w:sz w:val="19"/>
                <w:szCs w:val="19"/>
              </w:rPr>
              <w:t xml:space="preserve">The twin goes stale silently. Mitigated by last-will-and-testament liveness on every twin.</w:t>
            </w:r>
          </w:p>
        </w:tc>
      </w:tr>
      <w:tr>
        <w:trPr>
          <w:tblHeader w:val="false"/>
        </w:trPr>
        <w:tc>
          <w:tcPr>
            <w:tcW w:type="dxa" w:w="2340"/>
            <w:tcMar>
              <w:top w:type="dxa" w:w="70"/>
              <w:left w:type="dxa" w:w="110"/>
              <w:bottom w:type="dxa" w:w="70"/>
              <w:right w:type="dxa" w:w="110"/>
            </w:tcMar>
          </w:tcPr>
          <w:p>
            <w:pPr>
              <w:spacing w:after="20" w:before="20"/>
            </w:pPr>
            <w:r>
              <w:rPr>
                <w:b w:val="false"/>
                <w:bCs w:val="false"/>
                <w:sz w:val="19"/>
                <w:szCs w:val="19"/>
              </w:rPr>
              <w:t xml:space="preserve">Eavesdropping</w:t>
            </w:r>
          </w:p>
        </w:tc>
        <w:tc>
          <w:tcPr>
            <w:tcW w:type="dxa" w:w="3600"/>
            <w:tcMar>
              <w:top w:type="dxa" w:w="70"/>
              <w:left w:type="dxa" w:w="110"/>
              <w:bottom w:type="dxa" w:w="70"/>
              <w:right w:type="dxa" w:w="110"/>
            </w:tcMar>
          </w:tcPr>
          <w:p>
            <w:pPr>
              <w:spacing w:after="20" w:before="20"/>
            </w:pPr>
            <w:r>
              <w:rPr>
                <w:b w:val="false"/>
                <w:bCs w:val="false"/>
                <w:sz w:val="19"/>
                <w:szCs w:val="19"/>
              </w:rPr>
              <w:t xml:space="preserve">Reading unencrypted broker traffic</w:t>
            </w:r>
          </w:p>
        </w:tc>
        <w:tc>
          <w:tcPr>
            <w:tcW w:type="dxa" w:w="3060"/>
            <w:tcMar>
              <w:top w:type="dxa" w:w="70"/>
              <w:left w:type="dxa" w:w="110"/>
              <w:bottom w:type="dxa" w:w="70"/>
              <w:right w:type="dxa" w:w="110"/>
            </w:tcMar>
          </w:tcPr>
          <w:p>
            <w:pPr>
              <w:spacing w:after="20" w:before="20"/>
            </w:pPr>
            <w:r>
              <w:rPr>
                <w:b w:val="false"/>
                <w:bCs w:val="false"/>
                <w:sz w:val="19"/>
                <w:szCs w:val="19"/>
              </w:rPr>
              <w:t xml:space="preserve">Reveals occupancy patterns and facility load profile — useful reconnaissance for physical intrusion.</w:t>
            </w:r>
          </w:p>
        </w:tc>
      </w:tr>
      <w:tr>
        <w:trPr>
          <w:tblHeader w:val="false"/>
        </w:trPr>
        <w:tc>
          <w:tcPr>
            <w:tcW w:type="dxa" w:w="2340"/>
            <w:tcMar>
              <w:top w:type="dxa" w:w="70"/>
              <w:left w:type="dxa" w:w="110"/>
              <w:bottom w:type="dxa" w:w="70"/>
              <w:right w:type="dxa" w:w="110"/>
            </w:tcMar>
          </w:tcPr>
          <w:p>
            <w:pPr>
              <w:spacing w:after="20" w:before="20"/>
            </w:pPr>
            <w:r>
              <w:rPr>
                <w:b w:val="false"/>
                <w:bCs w:val="false"/>
                <w:sz w:val="19"/>
                <w:szCs w:val="19"/>
              </w:rPr>
              <w:t xml:space="preserve">Model as attack surface</w:t>
            </w:r>
          </w:p>
        </w:tc>
        <w:tc>
          <w:tcPr>
            <w:tcW w:type="dxa" w:w="3600"/>
            <w:tcMar>
              <w:top w:type="dxa" w:w="70"/>
              <w:left w:type="dxa" w:w="110"/>
              <w:bottom w:type="dxa" w:w="70"/>
              <w:right w:type="dxa" w:w="110"/>
            </w:tcMar>
          </w:tcPr>
          <w:p>
            <w:pPr>
              <w:spacing w:after="20" w:before="20"/>
            </w:pPr>
            <w:r>
              <w:rPr>
                <w:b w:val="false"/>
                <w:bCs w:val="false"/>
                <w:sz w:val="19"/>
                <w:szCs w:val="19"/>
              </w:rPr>
              <w:t xml:space="preserve">Crafted inputs pushed into the feature window</w:t>
            </w:r>
          </w:p>
        </w:tc>
        <w:tc>
          <w:tcPr>
            <w:tcW w:type="dxa" w:w="3060"/>
            <w:tcMar>
              <w:top w:type="dxa" w:w="70"/>
              <w:left w:type="dxa" w:w="110"/>
              <w:bottom w:type="dxa" w:w="70"/>
              <w:right w:type="dxa" w:w="110"/>
            </w:tcMar>
          </w:tcPr>
          <w:p>
            <w:pPr>
              <w:spacing w:after="20" w:before="20"/>
            </w:pPr>
            <w:r>
              <w:rPr>
                <w:b w:val="false"/>
                <w:bCs w:val="false"/>
                <w:sz w:val="19"/>
                <w:szCs w:val="19"/>
              </w:rPr>
              <w:t xml:space="preserve">Predictions driven outside the training distribution. This is not hypothetical: an unrelated cadence defect produced exactly this effect and was corrected.</w:t>
            </w:r>
          </w:p>
        </w:tc>
      </w:tr>
    </w:tbl>
    <w:p>
      <w:pPr>
        <w:pStyle w:val="Heading2"/>
        <w:spacing w:after="110" w:before="220"/>
      </w:pPr>
      <w:r>
        <w:rPr>
          <w:b/>
          <w:bCs/>
          <w:color w:val="0A2540"/>
          <w:sz w:val="24"/>
          <w:szCs w:val="24"/>
        </w:rPr>
        <w:t xml:space="preserve">A2. Cybersecurity measures</w:t>
      </w:r>
    </w:p>
    <w:p>
      <w:pPr>
        <w:spacing w:after="120" w:before="60"/>
      </w:pPr>
      <w:r>
        <w:rPr>
          <w:sz w:val="21"/>
          <w:szCs w:val="21"/>
        </w:rPr>
        <w:t xml:space="preserve">Controls are listed with their implementation status stated plainly. The prototype runs on a local trusted broker; controls marked as specified are designed and documented but are deployment requirements rather than prototype features.</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520"/>
        <w:gridCol w:w="3960"/>
        <w:gridCol w:w="2520"/>
      </w:tblGrid>
      <w:tr>
        <w:trPr>
          <w:tblHeader/>
        </w:trPr>
        <w:tc>
          <w:tcPr>
            <w:tcW w:type="dxa" w:w="2520"/>
            <w:shd w:fill="DCE6F1" w:color="auto" w:val="clear"/>
            <w:tcMar>
              <w:top w:type="dxa" w:w="70"/>
              <w:left w:type="dxa" w:w="110"/>
              <w:bottom w:type="dxa" w:w="70"/>
              <w:right w:type="dxa" w:w="110"/>
            </w:tcMar>
          </w:tcPr>
          <w:p>
            <w:pPr>
              <w:spacing w:after="20" w:before="20"/>
            </w:pPr>
            <w:r>
              <w:rPr>
                <w:b/>
                <w:bCs/>
                <w:sz w:val="19"/>
                <w:szCs w:val="19"/>
              </w:rPr>
              <w:t xml:space="preserve">Control</w:t>
            </w:r>
          </w:p>
        </w:tc>
        <w:tc>
          <w:tcPr>
            <w:tcW w:type="dxa" w:w="3960"/>
            <w:shd w:fill="DCE6F1" w:color="auto" w:val="clear"/>
            <w:tcMar>
              <w:top w:type="dxa" w:w="70"/>
              <w:left w:type="dxa" w:w="110"/>
              <w:bottom w:type="dxa" w:w="70"/>
              <w:right w:type="dxa" w:w="110"/>
            </w:tcMar>
          </w:tcPr>
          <w:p>
            <w:pPr>
              <w:spacing w:after="20" w:before="20"/>
            </w:pPr>
            <w:r>
              <w:rPr>
                <w:b/>
                <w:bCs/>
                <w:sz w:val="19"/>
                <w:szCs w:val="19"/>
              </w:rPr>
              <w:t xml:space="preserve">Detail</w:t>
            </w:r>
          </w:p>
        </w:tc>
        <w:tc>
          <w:tcPr>
            <w:tcW w:type="dxa" w:w="2520"/>
            <w:shd w:fill="DCE6F1" w:color="auto" w:val="clear"/>
            <w:tcMar>
              <w:top w:type="dxa" w:w="70"/>
              <w:left w:type="dxa" w:w="110"/>
              <w:bottom w:type="dxa" w:w="70"/>
              <w:right w:type="dxa" w:w="110"/>
            </w:tcMar>
          </w:tcPr>
          <w:p>
            <w:pPr>
              <w:spacing w:after="20" w:before="20"/>
            </w:pPr>
            <w:r>
              <w:rPr>
                <w:b/>
                <w:bCs/>
                <w:sz w:val="19"/>
                <w:szCs w:val="19"/>
              </w:rPr>
              <w:t xml:space="preserve">Status</w:t>
            </w:r>
          </w:p>
        </w:tc>
      </w:tr>
      <w:tr>
        <w:trPr>
          <w:tblHeader w:val="false"/>
        </w:trPr>
        <w:tc>
          <w:tcPr>
            <w:tcW w:type="dxa" w:w="2520"/>
            <w:tcMar>
              <w:top w:type="dxa" w:w="70"/>
              <w:left w:type="dxa" w:w="110"/>
              <w:bottom w:type="dxa" w:w="70"/>
              <w:right w:type="dxa" w:w="110"/>
            </w:tcMar>
          </w:tcPr>
          <w:p>
            <w:pPr>
              <w:spacing w:after="20" w:before="20"/>
            </w:pPr>
            <w:r>
              <w:rPr>
                <w:b w:val="false"/>
                <w:bCs w:val="false"/>
                <w:sz w:val="19"/>
                <w:szCs w:val="19"/>
              </w:rPr>
              <w:t xml:space="preserve">Authenticated clients</w:t>
            </w:r>
          </w:p>
        </w:tc>
        <w:tc>
          <w:tcPr>
            <w:tcW w:type="dxa" w:w="3960"/>
            <w:tcMar>
              <w:top w:type="dxa" w:w="70"/>
              <w:left w:type="dxa" w:w="110"/>
              <w:bottom w:type="dxa" w:w="70"/>
              <w:right w:type="dxa" w:w="110"/>
            </w:tcMar>
          </w:tcPr>
          <w:p>
            <w:pPr>
              <w:spacing w:after="20" w:before="20"/>
            </w:pPr>
            <w:r>
              <w:rPr>
                <w:b w:val="false"/>
                <w:bCs w:val="false"/>
                <w:sz w:val="19"/>
                <w:szCs w:val="19"/>
              </w:rPr>
              <w:t xml:space="preserve">Per-service credentials — simulator, each twin, orchestrator, dashboard. Anonymous connections refused.</w:t>
            </w:r>
          </w:p>
        </w:tc>
        <w:tc>
          <w:tcPr>
            <w:tcW w:type="dxa" w:w="2520"/>
            <w:tcMar>
              <w:top w:type="dxa" w:w="70"/>
              <w:left w:type="dxa" w:w="110"/>
              <w:bottom w:type="dxa" w:w="70"/>
              <w:right w:type="dxa" w:w="110"/>
            </w:tcMar>
          </w:tcPr>
          <w:p>
            <w:pPr>
              <w:spacing w:after="20" w:before="20"/>
            </w:pPr>
            <w:r>
              <w:rPr>
                <w:b w:val="false"/>
                <w:bCs w:val="false"/>
                <w:sz w:val="19"/>
                <w:szCs w:val="19"/>
              </w:rPr>
              <w:t xml:space="preserve">Specified for deployment</w:t>
            </w:r>
          </w:p>
        </w:tc>
      </w:tr>
      <w:tr>
        <w:trPr>
          <w:tblHeader w:val="false"/>
        </w:trPr>
        <w:tc>
          <w:tcPr>
            <w:tcW w:type="dxa" w:w="2520"/>
            <w:tcMar>
              <w:top w:type="dxa" w:w="70"/>
              <w:left w:type="dxa" w:w="110"/>
              <w:bottom w:type="dxa" w:w="70"/>
              <w:right w:type="dxa" w:w="110"/>
            </w:tcMar>
          </w:tcPr>
          <w:p>
            <w:pPr>
              <w:spacing w:after="20" w:before="20"/>
            </w:pPr>
            <w:r>
              <w:rPr>
                <w:b w:val="false"/>
                <w:bCs w:val="false"/>
                <w:sz w:val="19"/>
                <w:szCs w:val="19"/>
              </w:rPr>
              <w:t xml:space="preserve">Topic access control</w:t>
            </w:r>
          </w:p>
        </w:tc>
        <w:tc>
          <w:tcPr>
            <w:tcW w:type="dxa" w:w="3960"/>
            <w:tcMar>
              <w:top w:type="dxa" w:w="70"/>
              <w:left w:type="dxa" w:w="110"/>
              <w:bottom w:type="dxa" w:w="70"/>
              <w:right w:type="dxa" w:w="110"/>
            </w:tcMar>
          </w:tcPr>
          <w:p>
            <w:pPr>
              <w:spacing w:after="20" w:before="20"/>
            </w:pPr>
            <w:r>
              <w:rPr>
                <w:b w:val="false"/>
                <w:bCs w:val="false"/>
                <w:sz w:val="19"/>
                <w:szCs w:val="19"/>
              </w:rPr>
              <w:t xml:space="preserve">Least privilege per identity. Exactly one identity may publish to the recommendation topic.</w:t>
            </w:r>
          </w:p>
        </w:tc>
        <w:tc>
          <w:tcPr>
            <w:tcW w:type="dxa" w:w="2520"/>
            <w:tcMar>
              <w:top w:type="dxa" w:w="70"/>
              <w:left w:type="dxa" w:w="110"/>
              <w:bottom w:type="dxa" w:w="70"/>
              <w:right w:type="dxa" w:w="110"/>
            </w:tcMar>
          </w:tcPr>
          <w:p>
            <w:pPr>
              <w:spacing w:after="20" w:before="20"/>
            </w:pPr>
            <w:r>
              <w:rPr>
                <w:b w:val="false"/>
                <w:bCs w:val="false"/>
                <w:sz w:val="19"/>
                <w:szCs w:val="19"/>
              </w:rPr>
              <w:t xml:space="preserve">Specified for deployment</w:t>
            </w:r>
          </w:p>
        </w:tc>
      </w:tr>
      <w:tr>
        <w:trPr>
          <w:tblHeader w:val="false"/>
        </w:trPr>
        <w:tc>
          <w:tcPr>
            <w:tcW w:type="dxa" w:w="2520"/>
            <w:tcMar>
              <w:top w:type="dxa" w:w="70"/>
              <w:left w:type="dxa" w:w="110"/>
              <w:bottom w:type="dxa" w:w="70"/>
              <w:right w:type="dxa" w:w="110"/>
            </w:tcMar>
          </w:tcPr>
          <w:p>
            <w:pPr>
              <w:spacing w:after="20" w:before="20"/>
            </w:pPr>
            <w:r>
              <w:rPr>
                <w:b w:val="false"/>
                <w:bCs w:val="false"/>
                <w:sz w:val="19"/>
                <w:szCs w:val="19"/>
              </w:rPr>
              <w:t xml:space="preserve">Encrypted transport</w:t>
            </w:r>
          </w:p>
        </w:tc>
        <w:tc>
          <w:tcPr>
            <w:tcW w:type="dxa" w:w="3960"/>
            <w:tcMar>
              <w:top w:type="dxa" w:w="70"/>
              <w:left w:type="dxa" w:w="110"/>
              <w:bottom w:type="dxa" w:w="70"/>
              <w:right w:type="dxa" w:w="110"/>
            </w:tcMar>
          </w:tcPr>
          <w:p>
            <w:pPr>
              <w:spacing w:after="20" w:before="20"/>
            </w:pPr>
            <w:r>
              <w:rPr>
                <w:b w:val="false"/>
                <w:bCs w:val="false"/>
                <w:sz w:val="19"/>
                <w:szCs w:val="19"/>
              </w:rPr>
              <w:t xml:space="preserve">TLS for all broker connections; the prototype broker also exposes a plaintext listener for local development only.</w:t>
            </w:r>
          </w:p>
        </w:tc>
        <w:tc>
          <w:tcPr>
            <w:tcW w:type="dxa" w:w="2520"/>
            <w:tcMar>
              <w:top w:type="dxa" w:w="70"/>
              <w:left w:type="dxa" w:w="110"/>
              <w:bottom w:type="dxa" w:w="70"/>
              <w:right w:type="dxa" w:w="110"/>
            </w:tcMar>
          </w:tcPr>
          <w:p>
            <w:pPr>
              <w:spacing w:after="20" w:before="20"/>
            </w:pPr>
            <w:r>
              <w:rPr>
                <w:b w:val="false"/>
                <w:bCs w:val="false"/>
                <w:sz w:val="19"/>
                <w:szCs w:val="19"/>
              </w:rPr>
              <w:t xml:space="preserve">Specified for deployment</w:t>
            </w:r>
          </w:p>
        </w:tc>
      </w:tr>
      <w:tr>
        <w:trPr>
          <w:tblHeader w:val="false"/>
        </w:trPr>
        <w:tc>
          <w:tcPr>
            <w:tcW w:type="dxa" w:w="2520"/>
            <w:tcMar>
              <w:top w:type="dxa" w:w="70"/>
              <w:left w:type="dxa" w:w="110"/>
              <w:bottom w:type="dxa" w:w="70"/>
              <w:right w:type="dxa" w:w="110"/>
            </w:tcMar>
          </w:tcPr>
          <w:p>
            <w:pPr>
              <w:spacing w:after="20" w:before="20"/>
            </w:pPr>
            <w:r>
              <w:rPr>
                <w:b w:val="false"/>
                <w:bCs w:val="false"/>
                <w:sz w:val="19"/>
                <w:szCs w:val="19"/>
              </w:rPr>
              <w:t xml:space="preserve">Liveness detection</w:t>
            </w:r>
          </w:p>
        </w:tc>
        <w:tc>
          <w:tcPr>
            <w:tcW w:type="dxa" w:w="3960"/>
            <w:tcMar>
              <w:top w:type="dxa" w:w="70"/>
              <w:left w:type="dxa" w:w="110"/>
              <w:bottom w:type="dxa" w:w="70"/>
              <w:right w:type="dxa" w:w="110"/>
            </w:tcMar>
          </w:tcPr>
          <w:p>
            <w:pPr>
              <w:spacing w:after="20" w:before="20"/>
            </w:pPr>
            <w:r>
              <w:rPr>
                <w:b w:val="false"/>
                <w:bCs w:val="false"/>
                <w:sz w:val="19"/>
                <w:szCs w:val="19"/>
              </w:rPr>
              <w:t xml:space="preserve">MQTT last-will-and-testament: every twin publishes a retained offline marker if its connection drops.</w:t>
            </w:r>
          </w:p>
        </w:tc>
        <w:tc>
          <w:tcPr>
            <w:tcW w:type="dxa" w:w="2520"/>
            <w:tcMar>
              <w:top w:type="dxa" w:w="70"/>
              <w:left w:type="dxa" w:w="110"/>
              <w:bottom w:type="dxa" w:w="70"/>
              <w:right w:type="dxa" w:w="110"/>
            </w:tcMar>
          </w:tcPr>
          <w:p>
            <w:pPr>
              <w:spacing w:after="20" w:before="20"/>
            </w:pPr>
            <w:r>
              <w:rPr>
                <w:b w:val="false"/>
                <w:bCs w:val="false"/>
                <w:sz w:val="19"/>
                <w:szCs w:val="19"/>
              </w:rPr>
              <w:t xml:space="preserve">Implemented and verified</w:t>
            </w:r>
          </w:p>
        </w:tc>
      </w:tr>
      <w:tr>
        <w:trPr>
          <w:tblHeader w:val="false"/>
        </w:trPr>
        <w:tc>
          <w:tcPr>
            <w:tcW w:type="dxa" w:w="2520"/>
            <w:tcMar>
              <w:top w:type="dxa" w:w="70"/>
              <w:left w:type="dxa" w:w="110"/>
              <w:bottom w:type="dxa" w:w="70"/>
              <w:right w:type="dxa" w:w="110"/>
            </w:tcMar>
          </w:tcPr>
          <w:p>
            <w:pPr>
              <w:spacing w:after="20" w:before="20"/>
            </w:pPr>
            <w:r>
              <w:rPr>
                <w:b w:val="false"/>
                <w:bCs w:val="false"/>
                <w:sz w:val="19"/>
                <w:szCs w:val="19"/>
              </w:rPr>
              <w:t xml:space="preserve">Input validation</w:t>
            </w:r>
          </w:p>
        </w:tc>
        <w:tc>
          <w:tcPr>
            <w:tcW w:type="dxa" w:w="3960"/>
            <w:tcMar>
              <w:top w:type="dxa" w:w="70"/>
              <w:left w:type="dxa" w:w="110"/>
              <w:bottom w:type="dxa" w:w="70"/>
              <w:right w:type="dxa" w:w="110"/>
            </w:tcMar>
          </w:tcPr>
          <w:p>
            <w:pPr>
              <w:spacing w:after="20" w:before="20"/>
            </w:pPr>
            <w:r>
              <w:rPr>
                <w:b w:val="false"/>
                <w:bCs w:val="false"/>
                <w:sz w:val="19"/>
                <w:szCs w:val="19"/>
              </w:rPr>
              <w:t xml:space="preserve">Timestamp validity, rejection of unknown asset identifiers, schema enforcement at the twin boundary.</w:t>
            </w:r>
          </w:p>
        </w:tc>
        <w:tc>
          <w:tcPr>
            <w:tcW w:type="dxa" w:w="2520"/>
            <w:tcMar>
              <w:top w:type="dxa" w:w="70"/>
              <w:left w:type="dxa" w:w="110"/>
              <w:bottom w:type="dxa" w:w="70"/>
              <w:right w:type="dxa" w:w="110"/>
            </w:tcMar>
          </w:tcPr>
          <w:p>
            <w:pPr>
              <w:spacing w:after="20" w:before="20"/>
            </w:pPr>
            <w:r>
              <w:rPr>
                <w:b w:val="false"/>
                <w:bCs w:val="false"/>
                <w:sz w:val="19"/>
                <w:szCs w:val="19"/>
              </w:rPr>
              <w:t xml:space="preserve">Partially implemented</w:t>
            </w:r>
          </w:p>
        </w:tc>
      </w:tr>
      <w:tr>
        <w:trPr>
          <w:tblHeader w:val="false"/>
        </w:trPr>
        <w:tc>
          <w:tcPr>
            <w:tcW w:type="dxa" w:w="2520"/>
            <w:tcMar>
              <w:top w:type="dxa" w:w="70"/>
              <w:left w:type="dxa" w:w="110"/>
              <w:bottom w:type="dxa" w:w="70"/>
              <w:right w:type="dxa" w:w="110"/>
            </w:tcMar>
          </w:tcPr>
          <w:p>
            <w:pPr>
              <w:spacing w:after="20" w:before="20"/>
            </w:pPr>
            <w:r>
              <w:rPr>
                <w:b w:val="false"/>
                <w:bCs w:val="false"/>
                <w:sz w:val="19"/>
                <w:szCs w:val="19"/>
              </w:rPr>
              <w:t xml:space="preserve">Audit trail</w:t>
            </w:r>
          </w:p>
        </w:tc>
        <w:tc>
          <w:tcPr>
            <w:tcW w:type="dxa" w:w="3960"/>
            <w:tcMar>
              <w:top w:type="dxa" w:w="70"/>
              <w:left w:type="dxa" w:w="110"/>
              <w:bottom w:type="dxa" w:w="70"/>
              <w:right w:type="dxa" w:w="110"/>
            </w:tcMar>
          </w:tcPr>
          <w:p>
            <w:pPr>
              <w:spacing w:after="20" w:before="20"/>
            </w:pPr>
            <w:r>
              <w:rPr>
                <w:b w:val="false"/>
                <w:bCs w:val="false"/>
                <w:sz w:val="19"/>
                <w:szCs w:val="19"/>
              </w:rPr>
              <w:t xml:space="preserve">Append-only record of predictions, recommendations and operator acknowledgements, sequenced per source.</w:t>
            </w:r>
          </w:p>
        </w:tc>
        <w:tc>
          <w:tcPr>
            <w:tcW w:type="dxa" w:w="2520"/>
            <w:tcMar>
              <w:top w:type="dxa" w:w="70"/>
              <w:left w:type="dxa" w:w="110"/>
              <w:bottom w:type="dxa" w:w="70"/>
              <w:right w:type="dxa" w:w="110"/>
            </w:tcMar>
          </w:tcPr>
          <w:p>
            <w:pPr>
              <w:spacing w:after="20" w:before="20"/>
            </w:pPr>
            <w:r>
              <w:rPr>
                <w:b w:val="false"/>
                <w:bCs w:val="false"/>
                <w:sz w:val="19"/>
                <w:szCs w:val="19"/>
              </w:rPr>
              <w:t xml:space="preserve">Specified for deployment</w:t>
            </w:r>
          </w:p>
        </w:tc>
      </w:tr>
      <w:tr>
        <w:trPr>
          <w:tblHeader w:val="false"/>
        </w:trPr>
        <w:tc>
          <w:tcPr>
            <w:tcW w:type="dxa" w:w="2520"/>
            <w:tcMar>
              <w:top w:type="dxa" w:w="70"/>
              <w:left w:type="dxa" w:w="110"/>
              <w:bottom w:type="dxa" w:w="70"/>
              <w:right w:type="dxa" w:w="110"/>
            </w:tcMar>
          </w:tcPr>
          <w:p>
            <w:pPr>
              <w:spacing w:after="20" w:before="20"/>
            </w:pPr>
            <w:r>
              <w:rPr>
                <w:b w:val="false"/>
                <w:bCs w:val="false"/>
                <w:sz w:val="19"/>
                <w:szCs w:val="19"/>
              </w:rPr>
              <w:t xml:space="preserve">Network segmentation</w:t>
            </w:r>
          </w:p>
        </w:tc>
        <w:tc>
          <w:tcPr>
            <w:tcW w:type="dxa" w:w="3960"/>
            <w:tcMar>
              <w:top w:type="dxa" w:w="70"/>
              <w:left w:type="dxa" w:w="110"/>
              <w:bottom w:type="dxa" w:w="70"/>
              <w:right w:type="dxa" w:w="110"/>
            </w:tcMar>
          </w:tcPr>
          <w:p>
            <w:pPr>
              <w:spacing w:after="20" w:before="20"/>
            </w:pPr>
            <w:r>
              <w:rPr>
                <w:b w:val="false"/>
                <w:bCs w:val="false"/>
                <w:sz w:val="19"/>
                <w:szCs w:val="19"/>
              </w:rPr>
              <w:t xml:space="preserve">The twin network is isolated from any building-control network. No path exists from the twin to plant equipment.</w:t>
            </w:r>
          </w:p>
        </w:tc>
        <w:tc>
          <w:tcPr>
            <w:tcW w:type="dxa" w:w="2520"/>
            <w:tcMar>
              <w:top w:type="dxa" w:w="70"/>
              <w:left w:type="dxa" w:w="110"/>
              <w:bottom w:type="dxa" w:w="70"/>
              <w:right w:type="dxa" w:w="110"/>
            </w:tcMar>
          </w:tcPr>
          <w:p>
            <w:pPr>
              <w:spacing w:after="20" w:before="20"/>
            </w:pPr>
            <w:r>
              <w:rPr>
                <w:b w:val="false"/>
                <w:bCs w:val="false"/>
                <w:sz w:val="19"/>
                <w:szCs w:val="19"/>
              </w:rPr>
              <w:t xml:space="preserve">Architectural — enforced by design</w:t>
            </w:r>
          </w:p>
        </w:tc>
      </w:tr>
    </w:tbl>
    <w:p>
      <w:pPr>
        <w:spacing w:after="140"/>
      </w:pPr>
    </w:p>
    <w:tbl>
      <w:tblPr>
        <w:tblW w:type="dxa" w:w="9000"/>
        <w:tblBorders>
          <w:top w:val="single" w:color="0A2540" w:sz="4"/>
          <w:left w:val="single" w:color="0A2540" w:sz="18"/>
          <w:bottom w:val="single" w:color="0A2540" w:sz="4"/>
          <w:right w:val="single" w:color="0A2540" w:sz="4"/>
          <w:insideH w:val="single" w:color="auto" w:sz="4"/>
          <w:insideV w:val="single" w:color="auto" w:sz="4"/>
        </w:tblBorders>
      </w:tblPr>
      <w:tblGrid>
        <w:gridCol w:w="9000"/>
      </w:tblGrid>
      <w:tr>
        <w:tc>
          <w:tcPr>
            <w:tcW w:type="dxa" w:w="9000"/>
            <w:shd w:fill="FCE4D6" w:color="auto" w:val="clear"/>
            <w:tcMar>
              <w:top w:type="dxa" w:w="130"/>
              <w:left w:type="dxa" w:w="170"/>
              <w:bottom w:type="dxa" w:w="130"/>
              <w:right w:type="dxa" w:w="140"/>
            </w:tcMar>
          </w:tcPr>
          <w:p>
            <w:r>
              <w:rPr>
                <w:b/>
                <w:bCs/>
                <w:sz w:val="21"/>
                <w:szCs w:val="21"/>
              </w:rPr>
              <w:t xml:space="preserve">Verification principle: a security control is only credible if the attack it prevents has been attempted. Controls should be tested by attempting an unauthenticated publish and by attempting to publish a forged recommendation from an authenticated but unprivileged identity, with the broker responses recorded.</w:t>
            </w:r>
          </w:p>
        </w:tc>
      </w:tr>
    </w:tbl>
    <w:p>
      <w:pPr>
        <w:pStyle w:val="Heading2"/>
        <w:spacing w:after="110" w:before="220"/>
      </w:pPr>
      <w:r>
        <w:rPr>
          <w:b/>
          <w:bCs/>
          <w:color w:val="0A2540"/>
          <w:sz w:val="24"/>
          <w:szCs w:val="24"/>
        </w:rPr>
        <w:t xml:space="preserve">A3. Algorithmic transparency</w:t>
      </w:r>
    </w:p>
    <w:p>
      <w:pPr>
        <w:spacing w:after="120" w:before="60"/>
      </w:pPr>
      <w:r>
        <w:rPr>
          <w:sz w:val="21"/>
          <w:szCs w:val="21"/>
        </w:rPr>
        <w:t xml:space="preserve">An operator asked to schedule maintenance on the strength of a model output must be able to see why. Every prediction carries its own explanation.</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880"/>
        <w:gridCol w:w="6120"/>
      </w:tblGrid>
      <w:tr>
        <w:trPr>
          <w:tblHeader/>
        </w:trPr>
        <w:tc>
          <w:tcPr>
            <w:tcW w:type="dxa" w:w="2880"/>
            <w:shd w:fill="DCE6F1" w:color="auto" w:val="clear"/>
            <w:tcMar>
              <w:top w:type="dxa" w:w="70"/>
              <w:left w:type="dxa" w:w="110"/>
              <w:bottom w:type="dxa" w:w="70"/>
              <w:right w:type="dxa" w:w="110"/>
            </w:tcMar>
          </w:tcPr>
          <w:p>
            <w:pPr>
              <w:spacing w:after="20" w:before="20"/>
            </w:pPr>
            <w:r>
              <w:rPr>
                <w:b/>
                <w:bCs/>
                <w:sz w:val="19"/>
                <w:szCs w:val="19"/>
              </w:rPr>
              <w:t xml:space="preserve">Exposed with every prediction</w:t>
            </w:r>
          </w:p>
        </w:tc>
        <w:tc>
          <w:tcPr>
            <w:tcW w:type="dxa" w:w="6120"/>
            <w:shd w:fill="DCE6F1" w:color="auto" w:val="clear"/>
            <w:tcMar>
              <w:top w:type="dxa" w:w="70"/>
              <w:left w:type="dxa" w:w="110"/>
              <w:bottom w:type="dxa" w:w="70"/>
              <w:right w:type="dxa" w:w="110"/>
            </w:tcMar>
          </w:tcPr>
          <w:p>
            <w:pPr>
              <w:spacing w:after="20" w:before="20"/>
            </w:pPr>
            <w:r>
              <w:rPr>
                <w:b/>
                <w:bCs/>
                <w:sz w:val="19"/>
                <w:szCs w:val="19"/>
              </w:rPr>
              <w:t xml:space="preserve">Purpose</w:t>
            </w:r>
          </w:p>
        </w:tc>
      </w:tr>
      <w:tr>
        <w:trPr>
          <w:tblHeader w:val="false"/>
        </w:trPr>
        <w:tc>
          <w:tcPr>
            <w:tcW w:type="dxa" w:w="2880"/>
            <w:tcMar>
              <w:top w:type="dxa" w:w="70"/>
              <w:left w:type="dxa" w:w="110"/>
              <w:bottom w:type="dxa" w:w="70"/>
              <w:right w:type="dxa" w:w="110"/>
            </w:tcMar>
          </w:tcPr>
          <w:p>
            <w:pPr>
              <w:spacing w:after="20" w:before="20"/>
            </w:pPr>
            <w:r>
              <w:rPr>
                <w:b w:val="false"/>
                <w:bCs w:val="false"/>
                <w:sz w:val="19"/>
                <w:szCs w:val="19"/>
              </w:rPr>
              <w:t xml:space="preserve">Failure probability</w:t>
            </w:r>
          </w:p>
        </w:tc>
        <w:tc>
          <w:tcPr>
            <w:tcW w:type="dxa" w:w="6120"/>
            <w:tcMar>
              <w:top w:type="dxa" w:w="70"/>
              <w:left w:type="dxa" w:w="110"/>
              <w:bottom w:type="dxa" w:w="70"/>
              <w:right w:type="dxa" w:w="110"/>
            </w:tcMar>
          </w:tcPr>
          <w:p>
            <w:pPr>
              <w:spacing w:after="20" w:before="20"/>
            </w:pPr>
            <w:r>
              <w:rPr>
                <w:b w:val="false"/>
                <w:bCs w:val="false"/>
                <w:sz w:val="19"/>
                <w:szCs w:val="19"/>
              </w:rPr>
              <w:t xml:space="preserve">The model's confidence, shown as a number rather than a binary alarm</w:t>
            </w:r>
          </w:p>
        </w:tc>
      </w:tr>
      <w:tr>
        <w:trPr>
          <w:tblHeader w:val="false"/>
        </w:trPr>
        <w:tc>
          <w:tcPr>
            <w:tcW w:type="dxa" w:w="2880"/>
            <w:tcMar>
              <w:top w:type="dxa" w:w="70"/>
              <w:left w:type="dxa" w:w="110"/>
              <w:bottom w:type="dxa" w:w="70"/>
              <w:right w:type="dxa" w:w="110"/>
            </w:tcMar>
          </w:tcPr>
          <w:p>
            <w:pPr>
              <w:spacing w:after="20" w:before="20"/>
            </w:pPr>
            <w:r>
              <w:rPr>
                <w:b w:val="false"/>
                <w:bCs w:val="false"/>
                <w:sz w:val="19"/>
                <w:szCs w:val="19"/>
              </w:rPr>
              <w:t xml:space="preserve">Time to failure</w:t>
            </w:r>
          </w:p>
        </w:tc>
        <w:tc>
          <w:tcPr>
            <w:tcW w:type="dxa" w:w="6120"/>
            <w:tcMar>
              <w:top w:type="dxa" w:w="70"/>
              <w:left w:type="dxa" w:w="110"/>
              <w:bottom w:type="dxa" w:w="70"/>
              <w:right w:type="dxa" w:w="110"/>
            </w:tcMar>
          </w:tcPr>
          <w:p>
            <w:pPr>
              <w:spacing w:after="20" w:before="20"/>
            </w:pPr>
            <w:r>
              <w:rPr>
                <w:b w:val="false"/>
                <w:bCs w:val="false"/>
                <w:sz w:val="19"/>
                <w:szCs w:val="19"/>
              </w:rPr>
              <w:t xml:space="preserve">Published only above the action threshold, where the regressor has training support. Below it, no countdown is shown rather than an extrapolated one.</w:t>
            </w:r>
          </w:p>
        </w:tc>
      </w:tr>
      <w:tr>
        <w:trPr>
          <w:tblHeader w:val="false"/>
        </w:trPr>
        <w:tc>
          <w:tcPr>
            <w:tcW w:type="dxa" w:w="2880"/>
            <w:tcMar>
              <w:top w:type="dxa" w:w="70"/>
              <w:left w:type="dxa" w:w="110"/>
              <w:bottom w:type="dxa" w:w="70"/>
              <w:right w:type="dxa" w:w="110"/>
            </w:tcMar>
          </w:tcPr>
          <w:p>
            <w:pPr>
              <w:spacing w:after="20" w:before="20"/>
            </w:pPr>
            <w:r>
              <w:rPr>
                <w:b w:val="false"/>
                <w:bCs w:val="false"/>
                <w:sz w:val="19"/>
                <w:szCs w:val="19"/>
              </w:rPr>
              <w:t xml:space="preserve">Contributing factors</w:t>
            </w:r>
          </w:p>
        </w:tc>
        <w:tc>
          <w:tcPr>
            <w:tcW w:type="dxa" w:w="6120"/>
            <w:tcMar>
              <w:top w:type="dxa" w:w="70"/>
              <w:left w:type="dxa" w:w="110"/>
              <w:bottom w:type="dxa" w:w="70"/>
              <w:right w:type="dxa" w:w="110"/>
            </w:tcMar>
          </w:tcPr>
          <w:p>
            <w:pPr>
              <w:spacing w:after="20" w:before="20"/>
            </w:pPr>
            <w:r>
              <w:rPr>
                <w:b w:val="false"/>
                <w:bCs w:val="false"/>
                <w:sz w:val="19"/>
                <w:szCs w:val="19"/>
              </w:rPr>
              <w:t xml:space="preserve">The sensor evidence behind the prediction, so the operator can sanity-check it against the equipment</w:t>
            </w:r>
          </w:p>
        </w:tc>
      </w:tr>
      <w:tr>
        <w:trPr>
          <w:tblHeader w:val="false"/>
        </w:trPr>
        <w:tc>
          <w:tcPr>
            <w:tcW w:type="dxa" w:w="2880"/>
            <w:tcMar>
              <w:top w:type="dxa" w:w="70"/>
              <w:left w:type="dxa" w:w="110"/>
              <w:bottom w:type="dxa" w:w="70"/>
              <w:right w:type="dxa" w:w="110"/>
            </w:tcMar>
          </w:tcPr>
          <w:p>
            <w:pPr>
              <w:spacing w:after="20" w:before="20"/>
            </w:pPr>
            <w:r>
              <w:rPr>
                <w:b w:val="false"/>
                <w:bCs w:val="false"/>
                <w:sz w:val="19"/>
                <w:szCs w:val="19"/>
              </w:rPr>
              <w:t xml:space="preserve">Predicted failure mode</w:t>
            </w:r>
          </w:p>
        </w:tc>
        <w:tc>
          <w:tcPr>
            <w:tcW w:type="dxa" w:w="6120"/>
            <w:tcMar>
              <w:top w:type="dxa" w:w="70"/>
              <w:left w:type="dxa" w:w="110"/>
              <w:bottom w:type="dxa" w:w="70"/>
              <w:right w:type="dxa" w:w="110"/>
            </w:tcMar>
          </w:tcPr>
          <w:p>
            <w:pPr>
              <w:spacing w:after="20" w:before="20"/>
            </w:pPr>
            <w:r>
              <w:rPr>
                <w:b w:val="false"/>
                <w:bCs w:val="false"/>
                <w:sz w:val="19"/>
                <w:szCs w:val="19"/>
              </w:rPr>
              <w:t xml:space="preserve">Which mechanism is degrading — this determines the action, not merely its urgency</w:t>
            </w:r>
          </w:p>
        </w:tc>
      </w:tr>
      <w:tr>
        <w:trPr>
          <w:tblHeader w:val="false"/>
        </w:trPr>
        <w:tc>
          <w:tcPr>
            <w:tcW w:type="dxa" w:w="2880"/>
            <w:tcMar>
              <w:top w:type="dxa" w:w="70"/>
              <w:left w:type="dxa" w:w="110"/>
              <w:bottom w:type="dxa" w:w="70"/>
              <w:right w:type="dxa" w:w="110"/>
            </w:tcMar>
          </w:tcPr>
          <w:p>
            <w:pPr>
              <w:spacing w:after="20" w:before="20"/>
            </w:pPr>
            <w:r>
              <w:rPr>
                <w:b w:val="false"/>
                <w:bCs w:val="false"/>
                <w:sz w:val="19"/>
                <w:szCs w:val="19"/>
              </w:rPr>
              <w:t xml:space="preserve">Threshold flags</w:t>
            </w:r>
          </w:p>
        </w:tc>
        <w:tc>
          <w:tcPr>
            <w:tcW w:type="dxa" w:w="6120"/>
            <w:tcMar>
              <w:top w:type="dxa" w:w="70"/>
              <w:left w:type="dxa" w:w="110"/>
              <w:bottom w:type="dxa" w:w="70"/>
              <w:right w:type="dxa" w:w="110"/>
            </w:tcMar>
          </w:tcPr>
          <w:p>
            <w:pPr>
              <w:spacing w:after="20" w:before="20"/>
            </w:pPr>
            <w:r>
              <w:rPr>
                <w:b w:val="false"/>
                <w:bCs w:val="false"/>
                <w:sz w:val="19"/>
                <w:szCs w:val="19"/>
              </w:rPr>
              <w:t xml:space="preserve">The plain rule state alongside the model output, so the two can be compared directly</w:t>
            </w:r>
          </w:p>
        </w:tc>
      </w:tr>
    </w:tbl>
    <w:p>
      <w:pPr>
        <w:spacing w:after="120" w:before="60"/>
      </w:pPr>
      <w:r>
        <w:rPr>
          <w:sz w:val="21"/>
          <w:szCs w:val="21"/>
        </w:rPr>
        <w:t xml:space="preserve">Both models are interpretable by construction. A tree ensemble supports per-prediction feature attribution, and the linear time-to-failure regressor can be read as coefficients. Neither is a black box in the sense that would prevent an engineer from auditing a decision.</w:t>
      </w:r>
    </w:p>
    <w:p>
      <w:pPr>
        <w:spacing w:after="120" w:before="60"/>
      </w:pPr>
      <w:r>
        <w:rPr>
          <w:i/>
          <w:iCs/>
          <w:sz w:val="21"/>
          <w:szCs w:val="21"/>
        </w:rPr>
        <w:t xml:space="preserve">The system also states what it does not know. Performance figures come from a simulator, and the documentation records this as an upper bound rather than a field estimate.</w:t>
      </w:r>
    </w:p>
    <w:p>
      <w:pPr>
        <w:pStyle w:val="Heading2"/>
        <w:spacing w:after="110" w:before="220"/>
      </w:pPr>
      <w:r>
        <w:rPr>
          <w:b/>
          <w:bCs/>
          <w:color w:val="0A2540"/>
          <w:sz w:val="24"/>
          <w:szCs w:val="24"/>
        </w:rPr>
        <w:t xml:space="preserve">A4. Bias mitigation</w:t>
      </w:r>
    </w:p>
    <w:p>
      <w:pPr>
        <w:spacing w:after="120" w:before="60"/>
      </w:pPr>
      <w:r>
        <w:rPr>
          <w:sz w:val="21"/>
          <w:szCs w:val="21"/>
        </w:rPr>
        <w:t xml:space="preserve">In this system, bias is distributional rather than demographic. The relevant question is not fairness between people but whether the model performs evenly across the conditions it will meet.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700"/>
        <w:gridCol w:w="6300"/>
      </w:tblGrid>
      <w:tr>
        <w:trPr>
          <w:tblHeader/>
        </w:trPr>
        <w:tc>
          <w:tcPr>
            <w:tcW w:type="dxa" w:w="2700"/>
            <w:shd w:fill="DCE6F1" w:color="auto" w:val="clear"/>
            <w:tcMar>
              <w:top w:type="dxa" w:w="70"/>
              <w:left w:type="dxa" w:w="110"/>
              <w:bottom w:type="dxa" w:w="70"/>
              <w:right w:type="dxa" w:w="110"/>
            </w:tcMar>
          </w:tcPr>
          <w:p>
            <w:pPr>
              <w:spacing w:after="20" w:before="20"/>
            </w:pPr>
            <w:r>
              <w:rPr>
                <w:b/>
                <w:bCs/>
                <w:sz w:val="19"/>
                <w:szCs w:val="19"/>
              </w:rPr>
              <w:t xml:space="preserve">Source of bias</w:t>
            </w:r>
          </w:p>
        </w:tc>
        <w:tc>
          <w:tcPr>
            <w:tcW w:type="dxa" w:w="6300"/>
            <w:shd w:fill="DCE6F1" w:color="auto" w:val="clear"/>
            <w:tcMar>
              <w:top w:type="dxa" w:w="70"/>
              <w:left w:type="dxa" w:w="110"/>
              <w:bottom w:type="dxa" w:w="70"/>
              <w:right w:type="dxa" w:w="110"/>
            </w:tcMar>
          </w:tcPr>
          <w:p>
            <w:pPr>
              <w:spacing w:after="20" w:before="20"/>
            </w:pPr>
            <w:r>
              <w:rPr>
                <w:b/>
                <w:bCs/>
                <w:sz w:val="19"/>
                <w:szCs w:val="19"/>
              </w:rPr>
              <w:t xml:space="preserve">Treatment</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Class imbalance</w:t>
            </w:r>
          </w:p>
        </w:tc>
        <w:tc>
          <w:tcPr>
            <w:tcW w:type="dxa" w:w="6300"/>
            <w:tcMar>
              <w:top w:type="dxa" w:w="70"/>
              <w:left w:type="dxa" w:w="110"/>
              <w:bottom w:type="dxa" w:w="70"/>
              <w:right w:type="dxa" w:w="110"/>
            </w:tcMar>
          </w:tcPr>
          <w:p>
            <w:pPr>
              <w:spacing w:after="20" w:before="20"/>
            </w:pPr>
            <w:r>
              <w:rPr>
                <w:b w:val="false"/>
                <w:bCs w:val="false"/>
                <w:sz w:val="19"/>
                <w:szCs w:val="19"/>
              </w:rPr>
              <w:t xml:space="preserve">Failure states are rare by construction. Accuracy is not reported; precision, recall and F1 are, with the operating threshold stated.</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Temporal leakage</w:t>
            </w:r>
          </w:p>
        </w:tc>
        <w:tc>
          <w:tcPr>
            <w:tcW w:type="dxa" w:w="6300"/>
            <w:tcMar>
              <w:top w:type="dxa" w:w="70"/>
              <w:left w:type="dxa" w:w="110"/>
              <w:bottom w:type="dxa" w:w="70"/>
              <w:right w:type="dxa" w:w="110"/>
            </w:tcMar>
          </w:tcPr>
          <w:p>
            <w:pPr>
              <w:spacing w:after="20" w:before="20"/>
            </w:pPr>
            <w:r>
              <w:rPr>
                <w:b w:val="false"/>
                <w:bCs w:val="false"/>
                <w:sz w:val="19"/>
                <w:szCs w:val="19"/>
              </w:rPr>
              <w:t xml:space="preserve">Train and test are split on run identifier, never on rows. Consecutive samples within a run are near-identical, and a row split would inflate every score.</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Ground-truth leakage</w:t>
            </w:r>
          </w:p>
        </w:tc>
        <w:tc>
          <w:tcPr>
            <w:tcW w:type="dxa" w:w="6300"/>
            <w:tcMar>
              <w:top w:type="dxa" w:w="70"/>
              <w:left w:type="dxa" w:w="110"/>
              <w:bottom w:type="dxa" w:w="70"/>
              <w:right w:type="dxa" w:w="110"/>
            </w:tcMar>
          </w:tcPr>
          <w:p>
            <w:pPr>
              <w:spacing w:after="20" w:before="20"/>
            </w:pPr>
            <w:r>
              <w:rPr>
                <w:b w:val="false"/>
                <w:bCs w:val="false"/>
                <w:sz w:val="19"/>
                <w:szCs w:val="19"/>
              </w:rPr>
              <w:t xml:space="preserve">Simulator internal state variables are excluded from the feature set. Only quantities a real sensor could measure are used.</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Per-asset variation</w:t>
            </w:r>
          </w:p>
        </w:tc>
        <w:tc>
          <w:tcPr>
            <w:tcW w:type="dxa" w:w="6300"/>
            <w:tcMar>
              <w:top w:type="dxa" w:w="70"/>
              <w:left w:type="dxa" w:w="110"/>
              <w:bottom w:type="dxa" w:w="70"/>
              <w:right w:type="dxa" w:w="110"/>
            </w:tcMar>
          </w:tcPr>
          <w:p>
            <w:pPr>
              <w:spacing w:after="20" w:before="20"/>
            </w:pPr>
            <w:r>
              <w:rPr>
                <w:b w:val="false"/>
                <w:bCs w:val="false"/>
                <w:sz w:val="19"/>
                <w:szCs w:val="19"/>
              </w:rPr>
              <w:t xml:space="preserve">Training data spans all racks and all load levels so no single asset dominates the fitted model.</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Unseen failure mechanisms</w:t>
            </w:r>
          </w:p>
        </w:tc>
        <w:tc>
          <w:tcPr>
            <w:tcW w:type="dxa" w:w="6300"/>
            <w:tcMar>
              <w:top w:type="dxa" w:w="70"/>
              <w:left w:type="dxa" w:w="110"/>
              <w:bottom w:type="dxa" w:w="70"/>
              <w:right w:type="dxa" w:w="110"/>
            </w:tcMar>
          </w:tcPr>
          <w:p>
            <w:pPr>
              <w:spacing w:after="20" w:before="20"/>
            </w:pPr>
            <w:r>
              <w:rPr>
                <w:b w:val="false"/>
                <w:bCs w:val="false"/>
                <w:sz w:val="19"/>
                <w:szCs w:val="19"/>
              </w:rPr>
              <w:t xml:space="preserve">The model is trained on two mechanisms. Its behaviour on a third is unknown, and it should be assumed to under-detect rather than to generalise.</w:t>
            </w:r>
          </w:p>
        </w:tc>
      </w:tr>
    </w:tbl>
    <w:p>
      <w:pPr>
        <w:spacing w:after="140"/>
      </w:pPr>
    </w:p>
    <w:tbl>
      <w:tblPr>
        <w:tblW w:type="dxa" w:w="9000"/>
        <w:tblBorders>
          <w:top w:val="single" w:color="0A2540" w:sz="4"/>
          <w:left w:val="single" w:color="0A2540" w:sz="18"/>
          <w:bottom w:val="single" w:color="0A2540" w:sz="4"/>
          <w:right w:val="single" w:color="0A2540" w:sz="4"/>
          <w:insideH w:val="single" w:color="auto" w:sz="4"/>
          <w:insideV w:val="single" w:color="auto" w:sz="4"/>
        </w:tblBorders>
      </w:tblPr>
      <w:tblGrid>
        <w:gridCol w:w="9000"/>
      </w:tblGrid>
      <w:tr>
        <w:tc>
          <w:tcPr>
            <w:tcW w:type="dxa" w:w="9000"/>
            <w:shd w:fill="FCE4D6" w:color="auto" w:val="clear"/>
            <w:tcMar>
              <w:top w:type="dxa" w:w="130"/>
              <w:left w:type="dxa" w:w="170"/>
              <w:bottom w:type="dxa" w:w="130"/>
              <w:right w:type="dxa" w:w="140"/>
            </w:tcMar>
          </w:tcPr>
          <w:p>
            <w:r>
              <w:rPr>
                <w:b/>
                <w:bCs/>
                <w:sz w:val="21"/>
                <w:szCs w:val="21"/>
              </w:rPr>
              <w:t xml:space="preserve">The most important limitation is the last one. A model trained on bearing wear and filter clogging has no basis for recognising a mechanism it has never seen — a refrigerant leak, a failing compressor, a control-board fault. It will remain confident about what it recognises and quiet about what it does not. Recommended mitigation: retain a simpler model trained on raw sensor values alongside the primary model, and escalate when either fires. This trades precision on known mechanisms for coverage on unknown ones, and the trade should be stated rather than hidden.</w:t>
            </w:r>
          </w:p>
        </w:tc>
      </w:tr>
    </w:tbl>
    <w:p>
      <w:pPr>
        <w:spacing w:after="140"/>
      </w:pPr>
    </w:p>
    <w:p>
      <w:pPr>
        <w:spacing w:after="120" w:before="60"/>
      </w:pPr>
      <w:r>
        <w:rPr>
          <w:sz w:val="21"/>
          <w:szCs w:val="21"/>
        </w:rPr>
        <w:t xml:space="preserve">Recommended verification: train on one failure mechanism and test on the other, in both directions. Report recall separately from AUC — ranking can transfer while a fixed decision threshold does not, and it is the threshold that determines whether an operator is warned.</w:t>
      </w:r>
    </w:p>
    <w:p>
      <w:pPr>
        <w:pStyle w:val="Heading2"/>
        <w:spacing w:after="110" w:before="220"/>
      </w:pPr>
      <w:r>
        <w:rPr>
          <w:b/>
          <w:bCs/>
          <w:color w:val="0A2540"/>
          <w:sz w:val="24"/>
          <w:szCs w:val="24"/>
        </w:rPr>
        <w:t xml:space="preserve">A5. Human oversight and error cost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700"/>
        <w:gridCol w:w="6300"/>
      </w:tblGrid>
      <w:tr>
        <w:trPr>
          <w:tblHeader/>
        </w:trPr>
        <w:tc>
          <w:tcPr>
            <w:tcW w:type="dxa" w:w="2700"/>
            <w:shd w:fill="DCE6F1" w:color="auto" w:val="clear"/>
            <w:tcMar>
              <w:top w:type="dxa" w:w="70"/>
              <w:left w:type="dxa" w:w="110"/>
              <w:bottom w:type="dxa" w:w="70"/>
              <w:right w:type="dxa" w:w="110"/>
            </w:tcMar>
          </w:tcPr>
          <w:p>
            <w:pPr>
              <w:spacing w:after="20" w:before="20"/>
            </w:pPr>
            <w:r>
              <w:rPr>
                <w:b/>
                <w:bCs/>
                <w:sz w:val="19"/>
                <w:szCs w:val="19"/>
              </w:rPr>
              <w:t xml:space="preserve">Principle</w:t>
            </w:r>
          </w:p>
        </w:tc>
        <w:tc>
          <w:tcPr>
            <w:tcW w:type="dxa" w:w="6300"/>
            <w:shd w:fill="DCE6F1" w:color="auto" w:val="clear"/>
            <w:tcMar>
              <w:top w:type="dxa" w:w="70"/>
              <w:left w:type="dxa" w:w="110"/>
              <w:bottom w:type="dxa" w:w="70"/>
              <w:right w:type="dxa" w:w="110"/>
            </w:tcMar>
          </w:tcPr>
          <w:p>
            <w:pPr>
              <w:spacing w:after="20" w:before="20"/>
            </w:pPr>
            <w:r>
              <w:rPr>
                <w:b/>
                <w:bCs/>
                <w:sz w:val="19"/>
                <w:szCs w:val="19"/>
              </w:rPr>
              <w:t xml:space="preserve">Implementation</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Advisory only</w:t>
            </w:r>
          </w:p>
        </w:tc>
        <w:tc>
          <w:tcPr>
            <w:tcW w:type="dxa" w:w="6300"/>
            <w:tcMar>
              <w:top w:type="dxa" w:w="70"/>
              <w:left w:type="dxa" w:w="110"/>
              <w:bottom w:type="dxa" w:w="70"/>
              <w:right w:type="dxa" w:w="110"/>
            </w:tcMar>
          </w:tcPr>
          <w:p>
            <w:pPr>
              <w:spacing w:after="20" w:before="20"/>
            </w:pPr>
            <w:r>
              <w:rPr>
                <w:b w:val="false"/>
                <w:bCs w:val="false"/>
                <w:sz w:val="19"/>
                <w:szCs w:val="19"/>
              </w:rPr>
              <w:t xml:space="preserve">No component actuates equipment. Every action is a recommendation requiring operator approval.</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False positive cost</w:t>
            </w:r>
          </w:p>
        </w:tc>
        <w:tc>
          <w:tcPr>
            <w:tcW w:type="dxa" w:w="6300"/>
            <w:tcMar>
              <w:top w:type="dxa" w:w="70"/>
              <w:left w:type="dxa" w:w="110"/>
              <w:bottom w:type="dxa" w:w="70"/>
              <w:right w:type="dxa" w:w="110"/>
            </w:tcMar>
          </w:tcPr>
          <w:p>
            <w:pPr>
              <w:spacing w:after="20" w:before="20"/>
            </w:pPr>
            <w:r>
              <w:rPr>
                <w:b w:val="false"/>
                <w:bCs w:val="false"/>
                <w:sz w:val="19"/>
                <w:szCs w:val="19"/>
              </w:rPr>
              <w:t xml:space="preserve">An unnecessary inspection or filter change. Cost is bounded and financial.</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False negative cost</w:t>
            </w:r>
          </w:p>
        </w:tc>
        <w:tc>
          <w:tcPr>
            <w:tcW w:type="dxa" w:w="6300"/>
            <w:tcMar>
              <w:top w:type="dxa" w:w="70"/>
              <w:left w:type="dxa" w:w="110"/>
              <w:bottom w:type="dxa" w:w="70"/>
              <w:right w:type="dxa" w:w="110"/>
            </w:tcMar>
          </w:tcPr>
          <w:p>
            <w:pPr>
              <w:spacing w:after="20" w:before="20"/>
            </w:pPr>
            <w:r>
              <w:rPr>
                <w:b w:val="false"/>
                <w:bCs w:val="false"/>
                <w:sz w:val="19"/>
                <w:szCs w:val="19"/>
              </w:rPr>
              <w:t xml:space="preserve">Hardware damage and possible service loss. Cost is unbounded.</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Chosen asymmetry</w:t>
            </w:r>
          </w:p>
        </w:tc>
        <w:tc>
          <w:tcPr>
            <w:tcW w:type="dxa" w:w="6300"/>
            <w:tcMar>
              <w:top w:type="dxa" w:w="70"/>
              <w:left w:type="dxa" w:w="110"/>
              <w:bottom w:type="dxa" w:w="70"/>
              <w:right w:type="dxa" w:w="110"/>
            </w:tcMar>
          </w:tcPr>
          <w:p>
            <w:pPr>
              <w:spacing w:after="20" w:before="20"/>
            </w:pPr>
            <w:r>
              <w:rPr>
                <w:b w:val="false"/>
                <w:bCs w:val="false"/>
                <w:sz w:val="19"/>
                <w:szCs w:val="19"/>
              </w:rPr>
              <w:t xml:space="preserve">Recall is prioritised over precision because the costs are asymmetric. This is a deliberate choice and is stated rather than implied.</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Alarm fatigue</w:t>
            </w:r>
          </w:p>
        </w:tc>
        <w:tc>
          <w:tcPr>
            <w:tcW w:type="dxa" w:w="6300"/>
            <w:tcMar>
              <w:top w:type="dxa" w:w="70"/>
              <w:left w:type="dxa" w:w="110"/>
              <w:bottom w:type="dxa" w:w="70"/>
              <w:right w:type="dxa" w:w="110"/>
            </w:tcMar>
          </w:tcPr>
          <w:p>
            <w:pPr>
              <w:spacing w:after="20" w:before="20"/>
            </w:pPr>
            <w:r>
              <w:rPr>
                <w:b w:val="false"/>
                <w:bCs w:val="false"/>
                <w:sz w:val="19"/>
                <w:szCs w:val="19"/>
              </w:rPr>
              <w:t xml:space="preserve">Escalation requires sustained high risk rather than a single sample, so a transient spike does not raise a critical alert.</w:t>
            </w:r>
          </w:p>
        </w:tc>
      </w:tr>
      <w:tr>
        <w:trPr>
          <w:tblHeader w:val="false"/>
        </w:trPr>
        <w:tc>
          <w:tcPr>
            <w:tcW w:type="dxa" w:w="2700"/>
            <w:tcMar>
              <w:top w:type="dxa" w:w="70"/>
              <w:left w:type="dxa" w:w="110"/>
              <w:bottom w:type="dxa" w:w="70"/>
              <w:right w:type="dxa" w:w="110"/>
            </w:tcMar>
          </w:tcPr>
          <w:p>
            <w:pPr>
              <w:spacing w:after="20" w:before="20"/>
            </w:pPr>
            <w:r>
              <w:rPr>
                <w:b w:val="false"/>
                <w:bCs w:val="false"/>
                <w:sz w:val="19"/>
                <w:szCs w:val="19"/>
              </w:rPr>
              <w:t xml:space="preserve">Load-versus-fault separation</w:t>
            </w:r>
          </w:p>
        </w:tc>
        <w:tc>
          <w:tcPr>
            <w:tcW w:type="dxa" w:w="6300"/>
            <w:tcMar>
              <w:top w:type="dxa" w:w="70"/>
              <w:left w:type="dxa" w:w="110"/>
              <w:bottom w:type="dxa" w:w="70"/>
              <w:right w:type="dxa" w:w="110"/>
            </w:tcMar>
          </w:tcPr>
          <w:p>
            <w:pPr>
              <w:spacing w:after="20" w:before="20"/>
            </w:pPr>
            <w:r>
              <w:rPr>
                <w:b w:val="false"/>
                <w:bCs w:val="false"/>
                <w:sz w:val="19"/>
                <w:szCs w:val="19"/>
              </w:rPr>
              <w:t xml:space="preserve">Alerts explained by high occupancy with no equipment threshold tripped are suppressed, so operators are not called out for demand-driven heat.</w:t>
            </w:r>
          </w:p>
        </w:tc>
      </w:tr>
    </w:tbl>
    <w:p>
      <w:r>
        <w:br w:type="page"/>
      </w:r>
    </w:p>
    <w:p>
      <w:pPr>
        <w:pStyle w:val="Heading1"/>
        <w:spacing w:after="160" w:before="320"/>
      </w:pPr>
      <w:r>
        <w:rPr>
          <w:b/>
          <w:bCs/>
          <w:color w:val="0A2540"/>
          <w:sz w:val="30"/>
          <w:szCs w:val="30"/>
        </w:rPr>
        <w:t xml:space="preserve">Part B — Strategic Roadmap</w:t>
      </w:r>
    </w:p>
    <w:p>
      <w:pPr>
        <w:pStyle w:val="Heading2"/>
        <w:spacing w:after="110" w:before="220"/>
      </w:pPr>
      <w:r>
        <w:rPr>
          <w:b/>
          <w:bCs/>
          <w:color w:val="0A2540"/>
          <w:sz w:val="24"/>
          <w:szCs w:val="24"/>
        </w:rPr>
        <w:t xml:space="preserve">B1. ROI analysis</w:t>
      </w:r>
    </w:p>
    <w:tbl>
      <w:tblPr>
        <w:tblW w:type="dxa" w:w="9000"/>
        <w:tblBorders>
          <w:top w:val="single" w:color="0A2540" w:sz="4"/>
          <w:left w:val="single" w:color="0A2540" w:sz="18"/>
          <w:bottom w:val="single" w:color="0A2540" w:sz="4"/>
          <w:right w:val="single" w:color="0A2540" w:sz="4"/>
          <w:insideH w:val="single" w:color="auto" w:sz="4"/>
          <w:insideV w:val="single" w:color="auto" w:sz="4"/>
        </w:tblBorders>
      </w:tblPr>
      <w:tblGrid>
        <w:gridCol w:w="9000"/>
      </w:tblGrid>
      <w:tr>
        <w:tc>
          <w:tcPr>
            <w:tcW w:type="dxa" w:w="9000"/>
            <w:shd w:fill="FCE4D6" w:color="auto" w:val="clear"/>
            <w:tcMar>
              <w:top w:type="dxa" w:w="130"/>
              <w:left w:type="dxa" w:w="170"/>
              <w:bottom w:type="dxa" w:w="130"/>
              <w:right w:type="dxa" w:w="140"/>
            </w:tcMar>
          </w:tcPr>
          <w:p>
            <w:r>
              <w:rPr>
                <w:b/>
                <w:bCs/>
                <w:sz w:val="21"/>
                <w:szCs w:val="21"/>
              </w:rPr>
              <w:t xml:space="preserve">Every financial figure in this section is an illustrative planning assumption, not measured operating data. They are stated so the reasoning can be checked and the inputs replaced with site data once available.</w:t>
            </w:r>
          </w:p>
        </w:tc>
      </w:tr>
    </w:tbl>
    <w:p>
      <w:pPr>
        <w:spacing w:after="140"/>
      </w:pPr>
    </w:p>
    <w:p>
      <w:pPr>
        <w:spacing w:after="120" w:before="60"/>
      </w:pPr>
      <w:r>
        <w:rPr>
          <w:sz w:val="21"/>
          <w:szCs w:val="21"/>
        </w:rPr>
        <w:t xml:space="preserve">Benefits are expressed per monitored CRAC unit per year.</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500"/>
        <w:gridCol w:w="1800"/>
        <w:gridCol w:w="2700"/>
      </w:tblGrid>
      <w:tr>
        <w:trPr>
          <w:tblHeader/>
        </w:trPr>
        <w:tc>
          <w:tcPr>
            <w:tcW w:type="dxa" w:w="4500"/>
            <w:shd w:fill="DCE6F1" w:color="auto" w:val="clear"/>
            <w:tcMar>
              <w:top w:type="dxa" w:w="70"/>
              <w:left w:type="dxa" w:w="110"/>
              <w:bottom w:type="dxa" w:w="70"/>
              <w:right w:type="dxa" w:w="110"/>
            </w:tcMar>
          </w:tcPr>
          <w:p>
            <w:pPr>
              <w:spacing w:after="20" w:before="20"/>
            </w:pPr>
            <w:r>
              <w:rPr>
                <w:b/>
                <w:bCs/>
                <w:sz w:val="19"/>
                <w:szCs w:val="19"/>
              </w:rPr>
              <w:t xml:space="preserve">Benefit stream</w:t>
            </w:r>
          </w:p>
        </w:tc>
        <w:tc>
          <w:tcPr>
            <w:tcW w:type="dxa" w:w="1800"/>
            <w:shd w:fill="DCE6F1" w:color="auto" w:val="clear"/>
            <w:tcMar>
              <w:top w:type="dxa" w:w="70"/>
              <w:left w:type="dxa" w:w="110"/>
              <w:bottom w:type="dxa" w:w="70"/>
              <w:right w:type="dxa" w:w="110"/>
            </w:tcMar>
          </w:tcPr>
          <w:p>
            <w:pPr>
              <w:spacing w:after="20" w:before="20"/>
            </w:pPr>
            <w:r>
              <w:rPr>
                <w:b/>
                <w:bCs/>
                <w:sz w:val="19"/>
                <w:szCs w:val="19"/>
              </w:rPr>
              <w:t xml:space="preserve">SGD / year</w:t>
            </w:r>
          </w:p>
        </w:tc>
        <w:tc>
          <w:tcPr>
            <w:tcW w:type="dxa" w:w="2700"/>
            <w:shd w:fill="DCE6F1" w:color="auto" w:val="clear"/>
            <w:tcMar>
              <w:top w:type="dxa" w:w="70"/>
              <w:left w:type="dxa" w:w="110"/>
              <w:bottom w:type="dxa" w:w="70"/>
              <w:right w:type="dxa" w:w="110"/>
            </w:tcMar>
          </w:tcPr>
          <w:p>
            <w:pPr>
              <w:spacing w:after="20" w:before="20"/>
            </w:pPr>
            <w:r>
              <w:rPr>
                <w:b/>
                <w:bCs/>
                <w:sz w:val="19"/>
                <w:szCs w:val="19"/>
              </w:rPr>
              <w:t xml:space="preserve">Basis</w:t>
            </w:r>
          </w:p>
        </w:tc>
      </w:tr>
      <w:tr>
        <w:trPr>
          <w:tblHeader w:val="false"/>
        </w:trPr>
        <w:tc>
          <w:tcPr>
            <w:tcW w:type="dxa" w:w="4500"/>
            <w:tcMar>
              <w:top w:type="dxa" w:w="70"/>
              <w:left w:type="dxa" w:w="110"/>
              <w:bottom w:type="dxa" w:w="70"/>
              <w:right w:type="dxa" w:w="110"/>
            </w:tcMar>
          </w:tcPr>
          <w:p>
            <w:pPr>
              <w:spacing w:after="20" w:before="20"/>
            </w:pPr>
            <w:r>
              <w:rPr>
                <w:b w:val="false"/>
                <w:bCs w:val="false"/>
                <w:sz w:val="19"/>
                <w:szCs w:val="19"/>
              </w:rPr>
              <w:t xml:space="preserve">Avoided unplanned downtime</w:t>
            </w:r>
          </w:p>
        </w:tc>
        <w:tc>
          <w:tcPr>
            <w:tcW w:type="dxa" w:w="1800"/>
            <w:tcMar>
              <w:top w:type="dxa" w:w="70"/>
              <w:left w:type="dxa" w:w="110"/>
              <w:bottom w:type="dxa" w:w="70"/>
              <w:right w:type="dxa" w:w="110"/>
            </w:tcMar>
          </w:tcPr>
          <w:p>
            <w:pPr>
              <w:spacing w:after="20" w:before="20"/>
            </w:pPr>
            <w:r>
              <w:rPr>
                <w:b w:val="false"/>
                <w:bCs w:val="false"/>
                <w:sz w:val="19"/>
                <w:szCs w:val="19"/>
              </w:rPr>
              <w:t xml:space="preserve">12,000</w:t>
            </w:r>
          </w:p>
        </w:tc>
        <w:tc>
          <w:tcPr>
            <w:tcW w:type="dxa" w:w="2700"/>
            <w:tcMar>
              <w:top w:type="dxa" w:w="70"/>
              <w:left w:type="dxa" w:w="110"/>
              <w:bottom w:type="dxa" w:w="70"/>
              <w:right w:type="dxa" w:w="110"/>
            </w:tcMar>
          </w:tcPr>
          <w:p>
            <w:pPr>
              <w:spacing w:after="20" w:before="20"/>
            </w:pPr>
            <w:r>
              <w:rPr>
                <w:b w:val="false"/>
                <w:bCs w:val="false"/>
                <w:sz w:val="19"/>
                <w:szCs w:val="19"/>
              </w:rPr>
              <w:t xml:space="preserve">Failures predicted early enough to remediate in a scheduled window</w:t>
            </w:r>
          </w:p>
        </w:tc>
      </w:tr>
      <w:tr>
        <w:trPr>
          <w:tblHeader w:val="false"/>
        </w:trPr>
        <w:tc>
          <w:tcPr>
            <w:tcW w:type="dxa" w:w="4500"/>
            <w:tcMar>
              <w:top w:type="dxa" w:w="70"/>
              <w:left w:type="dxa" w:w="110"/>
              <w:bottom w:type="dxa" w:w="70"/>
              <w:right w:type="dxa" w:w="110"/>
            </w:tcMar>
          </w:tcPr>
          <w:p>
            <w:pPr>
              <w:spacing w:after="20" w:before="20"/>
            </w:pPr>
            <w:r>
              <w:rPr>
                <w:b w:val="false"/>
                <w:bCs w:val="false"/>
                <w:sz w:val="19"/>
                <w:szCs w:val="19"/>
              </w:rPr>
              <w:t xml:space="preserve">Avoided emergency maintenance premium</w:t>
            </w:r>
          </w:p>
        </w:tc>
        <w:tc>
          <w:tcPr>
            <w:tcW w:type="dxa" w:w="1800"/>
            <w:tcMar>
              <w:top w:type="dxa" w:w="70"/>
              <w:left w:type="dxa" w:w="110"/>
              <w:bottom w:type="dxa" w:w="70"/>
              <w:right w:type="dxa" w:w="110"/>
            </w:tcMar>
          </w:tcPr>
          <w:p>
            <w:pPr>
              <w:spacing w:after="20" w:before="20"/>
            </w:pPr>
            <w:r>
              <w:rPr>
                <w:b w:val="false"/>
                <w:bCs w:val="false"/>
                <w:sz w:val="19"/>
                <w:szCs w:val="19"/>
              </w:rPr>
              <w:t xml:space="preserve">4,000</w:t>
            </w:r>
          </w:p>
        </w:tc>
        <w:tc>
          <w:tcPr>
            <w:tcW w:type="dxa" w:w="2700"/>
            <w:tcMar>
              <w:top w:type="dxa" w:w="70"/>
              <w:left w:type="dxa" w:w="110"/>
              <w:bottom w:type="dxa" w:w="70"/>
              <w:right w:type="dxa" w:w="110"/>
            </w:tcMar>
          </w:tcPr>
          <w:p>
            <w:pPr>
              <w:spacing w:after="20" w:before="20"/>
            </w:pPr>
            <w:r>
              <w:rPr>
                <w:b w:val="false"/>
                <w:bCs w:val="false"/>
                <w:sz w:val="19"/>
                <w:szCs w:val="19"/>
              </w:rPr>
              <w:t xml:space="preserve">Difference between planned and callout labour rates</w:t>
            </w:r>
          </w:p>
        </w:tc>
      </w:tr>
      <w:tr>
        <w:trPr>
          <w:tblHeader w:val="false"/>
        </w:trPr>
        <w:tc>
          <w:tcPr>
            <w:tcW w:type="dxa" w:w="4500"/>
            <w:tcMar>
              <w:top w:type="dxa" w:w="70"/>
              <w:left w:type="dxa" w:w="110"/>
              <w:bottom w:type="dxa" w:w="70"/>
              <w:right w:type="dxa" w:w="110"/>
            </w:tcMar>
          </w:tcPr>
          <w:p>
            <w:pPr>
              <w:spacing w:after="20" w:before="20"/>
            </w:pPr>
            <w:r>
              <w:rPr>
                <w:b w:val="false"/>
                <w:bCs w:val="false"/>
                <w:sz w:val="19"/>
                <w:szCs w:val="19"/>
              </w:rPr>
              <w:t xml:space="preserve">Cooling energy savings</w:t>
            </w:r>
          </w:p>
        </w:tc>
        <w:tc>
          <w:tcPr>
            <w:tcW w:type="dxa" w:w="1800"/>
            <w:tcMar>
              <w:top w:type="dxa" w:w="70"/>
              <w:left w:type="dxa" w:w="110"/>
              <w:bottom w:type="dxa" w:w="70"/>
              <w:right w:type="dxa" w:w="110"/>
            </w:tcMar>
          </w:tcPr>
          <w:p>
            <w:pPr>
              <w:spacing w:after="20" w:before="20"/>
            </w:pPr>
            <w:r>
              <w:rPr>
                <w:b w:val="false"/>
                <w:bCs w:val="false"/>
                <w:sz w:val="19"/>
                <w:szCs w:val="19"/>
              </w:rPr>
              <w:t xml:space="preserve">6,000</w:t>
            </w:r>
          </w:p>
        </w:tc>
        <w:tc>
          <w:tcPr>
            <w:tcW w:type="dxa" w:w="2700"/>
            <w:tcMar>
              <w:top w:type="dxa" w:w="70"/>
              <w:left w:type="dxa" w:w="110"/>
              <w:bottom w:type="dxa" w:w="70"/>
              <w:right w:type="dxa" w:w="110"/>
            </w:tcMar>
          </w:tcPr>
          <w:p>
            <w:pPr>
              <w:spacing w:after="20" w:before="20"/>
            </w:pPr>
            <w:r>
              <w:rPr>
                <w:b w:val="false"/>
                <w:bCs w:val="false"/>
                <w:sz w:val="19"/>
                <w:szCs w:val="19"/>
              </w:rPr>
              <w:t xml:space="preserve">Occupancy-aware setpoint relaxation and earlier correction of degraded operation</w:t>
            </w:r>
          </w:p>
        </w:tc>
      </w:tr>
      <w:tr>
        <w:trPr>
          <w:tblHeader w:val="false"/>
        </w:trPr>
        <w:tc>
          <w:tcPr>
            <w:tcW w:type="dxa" w:w="4500"/>
            <w:tcMar>
              <w:top w:type="dxa" w:w="70"/>
              <w:left w:type="dxa" w:w="110"/>
              <w:bottom w:type="dxa" w:w="70"/>
              <w:right w:type="dxa" w:w="110"/>
            </w:tcMar>
          </w:tcPr>
          <w:p>
            <w:pPr>
              <w:spacing w:after="20" w:before="20"/>
            </w:pPr>
            <w:r>
              <w:rPr>
                <w:b w:val="false"/>
                <w:bCs w:val="false"/>
                <w:sz w:val="19"/>
                <w:szCs w:val="19"/>
              </w:rPr>
              <w:t xml:space="preserve">Reduced manual monitoring</w:t>
            </w:r>
          </w:p>
        </w:tc>
        <w:tc>
          <w:tcPr>
            <w:tcW w:type="dxa" w:w="1800"/>
            <w:tcMar>
              <w:top w:type="dxa" w:w="70"/>
              <w:left w:type="dxa" w:w="110"/>
              <w:bottom w:type="dxa" w:w="70"/>
              <w:right w:type="dxa" w:w="110"/>
            </w:tcMar>
          </w:tcPr>
          <w:p>
            <w:pPr>
              <w:spacing w:after="20" w:before="20"/>
            </w:pPr>
            <w:r>
              <w:rPr>
                <w:b w:val="false"/>
                <w:bCs w:val="false"/>
                <w:sz w:val="19"/>
                <w:szCs w:val="19"/>
              </w:rPr>
              <w:t xml:space="preserve">2,000</w:t>
            </w:r>
          </w:p>
        </w:tc>
        <w:tc>
          <w:tcPr>
            <w:tcW w:type="dxa" w:w="2700"/>
            <w:tcMar>
              <w:top w:type="dxa" w:w="70"/>
              <w:left w:type="dxa" w:w="110"/>
              <w:bottom w:type="dxa" w:w="70"/>
              <w:right w:type="dxa" w:w="110"/>
            </w:tcMar>
          </w:tcPr>
          <w:p>
            <w:pPr>
              <w:spacing w:after="20" w:before="20"/>
            </w:pPr>
            <w:r>
              <w:rPr>
                <w:b w:val="false"/>
                <w:bCs w:val="false"/>
                <w:sz w:val="19"/>
                <w:szCs w:val="19"/>
              </w:rPr>
              <w:t xml:space="preserve">Automated trend surveillance replacing periodic manual checks</w:t>
            </w:r>
          </w:p>
        </w:tc>
      </w:tr>
      <w:tr>
        <w:trPr>
          <w:tblHeader w:val="false"/>
        </w:trPr>
        <w:tc>
          <w:tcPr>
            <w:tcW w:type="dxa" w:w="4500"/>
            <w:shd w:fill="E2EFDA" w:color="auto" w:val="clear"/>
            <w:tcMar>
              <w:top w:type="dxa" w:w="70"/>
              <w:left w:type="dxa" w:w="110"/>
              <w:bottom w:type="dxa" w:w="70"/>
              <w:right w:type="dxa" w:w="110"/>
            </w:tcMar>
          </w:tcPr>
          <w:p>
            <w:pPr>
              <w:spacing w:after="20" w:before="20"/>
            </w:pPr>
            <w:r>
              <w:rPr>
                <w:b w:val="false"/>
                <w:bCs w:val="false"/>
                <w:sz w:val="19"/>
                <w:szCs w:val="19"/>
              </w:rPr>
              <w:t xml:space="preserve">Gross annual benefit</w:t>
            </w:r>
          </w:p>
        </w:tc>
        <w:tc>
          <w:tcPr>
            <w:tcW w:type="dxa" w:w="1800"/>
            <w:shd w:fill="E2EFDA" w:color="auto" w:val="clear"/>
            <w:tcMar>
              <w:top w:type="dxa" w:w="70"/>
              <w:left w:type="dxa" w:w="110"/>
              <w:bottom w:type="dxa" w:w="70"/>
              <w:right w:type="dxa" w:w="110"/>
            </w:tcMar>
          </w:tcPr>
          <w:p>
            <w:pPr>
              <w:spacing w:after="20" w:before="20"/>
            </w:pPr>
            <w:r>
              <w:rPr>
                <w:b w:val="false"/>
                <w:bCs w:val="false"/>
                <w:sz w:val="19"/>
                <w:szCs w:val="19"/>
              </w:rPr>
              <w:t xml:space="preserve">24,000</w:t>
            </w:r>
          </w:p>
        </w:tc>
        <w:tc>
          <w:tcPr>
            <w:tcW w:type="dxa" w:w="2700"/>
            <w:shd w:fill="E2EFDA" w:color="auto" w:val="clear"/>
            <w:tcMar>
              <w:top w:type="dxa" w:w="70"/>
              <w:left w:type="dxa" w:w="110"/>
              <w:bottom w:type="dxa" w:w="70"/>
              <w:right w:type="dxa" w:w="110"/>
            </w:tcMar>
          </w:tcPr>
          <w:p>
            <w:pPr>
              <w:spacing w:after="20" w:before="20"/>
            </w:pPr>
            <w:r>
              <w:rPr>
                <w:b w:val="false"/>
                <w:bCs w:val="false"/>
                <w:sz w:val="19"/>
                <w:szCs w:val="19"/>
              </w:rPr>
              <w:t xml:space="preserve"/>
            </w:r>
          </w:p>
        </w:tc>
      </w:tr>
    </w:tbl>
    <w:p>
      <w:pPr>
        <w:spacing w:after="140"/>
      </w:pPr>
    </w:p>
    <w:p>
      <w:pPr>
        <w:spacing w:after="120" w:before="60"/>
      </w:pPr>
      <w:r>
        <w:rPr>
          <w:sz w:val="21"/>
          <w:szCs w:val="21"/>
        </w:rPr>
        <w:t xml:space="preserve">Costs separate one-off capital from recurring operating expenditure.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4500"/>
        <w:gridCol w:w="1800"/>
        <w:gridCol w:w="2700"/>
      </w:tblGrid>
      <w:tr>
        <w:trPr>
          <w:tblHeader/>
        </w:trPr>
        <w:tc>
          <w:tcPr>
            <w:tcW w:type="dxa" w:w="4500"/>
            <w:shd w:fill="DCE6F1" w:color="auto" w:val="clear"/>
            <w:tcMar>
              <w:top w:type="dxa" w:w="70"/>
              <w:left w:type="dxa" w:w="110"/>
              <w:bottom w:type="dxa" w:w="70"/>
              <w:right w:type="dxa" w:w="110"/>
            </w:tcMar>
          </w:tcPr>
          <w:p>
            <w:pPr>
              <w:spacing w:after="20" w:before="20"/>
            </w:pPr>
            <w:r>
              <w:rPr>
                <w:b/>
                <w:bCs/>
                <w:sz w:val="19"/>
                <w:szCs w:val="19"/>
              </w:rPr>
              <w:t xml:space="preserve">Cost item</w:t>
            </w:r>
          </w:p>
        </w:tc>
        <w:tc>
          <w:tcPr>
            <w:tcW w:type="dxa" w:w="1800"/>
            <w:shd w:fill="DCE6F1" w:color="auto" w:val="clear"/>
            <w:tcMar>
              <w:top w:type="dxa" w:w="70"/>
              <w:left w:type="dxa" w:w="110"/>
              <w:bottom w:type="dxa" w:w="70"/>
              <w:right w:type="dxa" w:w="110"/>
            </w:tcMar>
          </w:tcPr>
          <w:p>
            <w:pPr>
              <w:spacing w:after="20" w:before="20"/>
            </w:pPr>
            <w:r>
              <w:rPr>
                <w:b/>
                <w:bCs/>
                <w:sz w:val="19"/>
                <w:szCs w:val="19"/>
              </w:rPr>
              <w:t xml:space="preserve">SGD</w:t>
            </w:r>
          </w:p>
        </w:tc>
        <w:tc>
          <w:tcPr>
            <w:tcW w:type="dxa" w:w="2700"/>
            <w:shd w:fill="DCE6F1" w:color="auto" w:val="clear"/>
            <w:tcMar>
              <w:top w:type="dxa" w:w="70"/>
              <w:left w:type="dxa" w:w="110"/>
              <w:bottom w:type="dxa" w:w="70"/>
              <w:right w:type="dxa" w:w="110"/>
            </w:tcMar>
          </w:tcPr>
          <w:p>
            <w:pPr>
              <w:spacing w:after="20" w:before="20"/>
            </w:pPr>
            <w:r>
              <w:rPr>
                <w:b/>
                <w:bCs/>
                <w:sz w:val="19"/>
                <w:szCs w:val="19"/>
              </w:rPr>
              <w:t xml:space="preserve">Type</w:t>
            </w:r>
          </w:p>
        </w:tc>
      </w:tr>
      <w:tr>
        <w:trPr>
          <w:tblHeader w:val="false"/>
        </w:trPr>
        <w:tc>
          <w:tcPr>
            <w:tcW w:type="dxa" w:w="4500"/>
            <w:tcMar>
              <w:top w:type="dxa" w:w="70"/>
              <w:left w:type="dxa" w:w="110"/>
              <w:bottom w:type="dxa" w:w="70"/>
              <w:right w:type="dxa" w:w="110"/>
            </w:tcMar>
          </w:tcPr>
          <w:p>
            <w:pPr>
              <w:spacing w:after="20" w:before="20"/>
            </w:pPr>
            <w:r>
              <w:rPr>
                <w:b w:val="false"/>
                <w:bCs w:val="false"/>
                <w:sz w:val="19"/>
                <w:szCs w:val="19"/>
              </w:rPr>
              <w:t xml:space="preserve">Sensors and gateway</w:t>
            </w:r>
          </w:p>
        </w:tc>
        <w:tc>
          <w:tcPr>
            <w:tcW w:type="dxa" w:w="1800"/>
            <w:tcMar>
              <w:top w:type="dxa" w:w="70"/>
              <w:left w:type="dxa" w:w="110"/>
              <w:bottom w:type="dxa" w:w="70"/>
              <w:right w:type="dxa" w:w="110"/>
            </w:tcMar>
          </w:tcPr>
          <w:p>
            <w:pPr>
              <w:spacing w:after="20" w:before="20"/>
            </w:pPr>
            <w:r>
              <w:rPr>
                <w:b w:val="false"/>
                <w:bCs w:val="false"/>
                <w:sz w:val="19"/>
                <w:szCs w:val="19"/>
              </w:rPr>
              <w:t xml:space="preserve">4,000</w:t>
            </w:r>
          </w:p>
        </w:tc>
        <w:tc>
          <w:tcPr>
            <w:tcW w:type="dxa" w:w="2700"/>
            <w:tcMar>
              <w:top w:type="dxa" w:w="70"/>
              <w:left w:type="dxa" w:w="110"/>
              <w:bottom w:type="dxa" w:w="70"/>
              <w:right w:type="dxa" w:w="110"/>
            </w:tcMar>
          </w:tcPr>
          <w:p>
            <w:pPr>
              <w:spacing w:after="20" w:before="20"/>
            </w:pPr>
            <w:r>
              <w:rPr>
                <w:b w:val="false"/>
                <w:bCs w:val="false"/>
                <w:sz w:val="19"/>
                <w:szCs w:val="19"/>
              </w:rPr>
              <w:t xml:space="preserve">Capital</w:t>
            </w:r>
          </w:p>
        </w:tc>
      </w:tr>
      <w:tr>
        <w:trPr>
          <w:tblHeader w:val="false"/>
        </w:trPr>
        <w:tc>
          <w:tcPr>
            <w:tcW w:type="dxa" w:w="4500"/>
            <w:tcMar>
              <w:top w:type="dxa" w:w="70"/>
              <w:left w:type="dxa" w:w="110"/>
              <w:bottom w:type="dxa" w:w="70"/>
              <w:right w:type="dxa" w:w="110"/>
            </w:tcMar>
          </w:tcPr>
          <w:p>
            <w:pPr>
              <w:spacing w:after="20" w:before="20"/>
            </w:pPr>
            <w:r>
              <w:rPr>
                <w:b w:val="false"/>
                <w:bCs w:val="false"/>
                <w:sz w:val="19"/>
                <w:szCs w:val="19"/>
              </w:rPr>
              <w:t xml:space="preserve">Software and infrastructure</w:t>
            </w:r>
          </w:p>
        </w:tc>
        <w:tc>
          <w:tcPr>
            <w:tcW w:type="dxa" w:w="1800"/>
            <w:tcMar>
              <w:top w:type="dxa" w:w="70"/>
              <w:left w:type="dxa" w:w="110"/>
              <w:bottom w:type="dxa" w:w="70"/>
              <w:right w:type="dxa" w:w="110"/>
            </w:tcMar>
          </w:tcPr>
          <w:p>
            <w:pPr>
              <w:spacing w:after="20" w:before="20"/>
            </w:pPr>
            <w:r>
              <w:rPr>
                <w:b w:val="false"/>
                <w:bCs w:val="false"/>
                <w:sz w:val="19"/>
                <w:szCs w:val="19"/>
              </w:rPr>
              <w:t xml:space="preserve">3,000</w:t>
            </w:r>
          </w:p>
        </w:tc>
        <w:tc>
          <w:tcPr>
            <w:tcW w:type="dxa" w:w="2700"/>
            <w:tcMar>
              <w:top w:type="dxa" w:w="70"/>
              <w:left w:type="dxa" w:w="110"/>
              <w:bottom w:type="dxa" w:w="70"/>
              <w:right w:type="dxa" w:w="110"/>
            </w:tcMar>
          </w:tcPr>
          <w:p>
            <w:pPr>
              <w:spacing w:after="20" w:before="20"/>
            </w:pPr>
            <w:r>
              <w:rPr>
                <w:b w:val="false"/>
                <w:bCs w:val="false"/>
                <w:sz w:val="19"/>
                <w:szCs w:val="19"/>
              </w:rPr>
              <w:t xml:space="preserve">Capital</w:t>
            </w:r>
          </w:p>
        </w:tc>
      </w:tr>
      <w:tr>
        <w:trPr>
          <w:tblHeader w:val="false"/>
        </w:trPr>
        <w:tc>
          <w:tcPr>
            <w:tcW w:type="dxa" w:w="4500"/>
            <w:tcMar>
              <w:top w:type="dxa" w:w="70"/>
              <w:left w:type="dxa" w:w="110"/>
              <w:bottom w:type="dxa" w:w="70"/>
              <w:right w:type="dxa" w:w="110"/>
            </w:tcMar>
          </w:tcPr>
          <w:p>
            <w:pPr>
              <w:spacing w:after="20" w:before="20"/>
            </w:pPr>
            <w:r>
              <w:rPr>
                <w:b w:val="false"/>
                <w:bCs w:val="false"/>
                <w:sz w:val="19"/>
                <w:szCs w:val="19"/>
              </w:rPr>
              <w:t xml:space="preserve">Integration and model development</w:t>
            </w:r>
          </w:p>
        </w:tc>
        <w:tc>
          <w:tcPr>
            <w:tcW w:type="dxa" w:w="1800"/>
            <w:tcMar>
              <w:top w:type="dxa" w:w="70"/>
              <w:left w:type="dxa" w:w="110"/>
              <w:bottom w:type="dxa" w:w="70"/>
              <w:right w:type="dxa" w:w="110"/>
            </w:tcMar>
          </w:tcPr>
          <w:p>
            <w:pPr>
              <w:spacing w:after="20" w:before="20"/>
            </w:pPr>
            <w:r>
              <w:rPr>
                <w:b w:val="false"/>
                <w:bCs w:val="false"/>
                <w:sz w:val="19"/>
                <w:szCs w:val="19"/>
              </w:rPr>
              <w:t xml:space="preserve">7,000</w:t>
            </w:r>
          </w:p>
        </w:tc>
        <w:tc>
          <w:tcPr>
            <w:tcW w:type="dxa" w:w="2700"/>
            <w:tcMar>
              <w:top w:type="dxa" w:w="70"/>
              <w:left w:type="dxa" w:w="110"/>
              <w:bottom w:type="dxa" w:w="70"/>
              <w:right w:type="dxa" w:w="110"/>
            </w:tcMar>
          </w:tcPr>
          <w:p>
            <w:pPr>
              <w:spacing w:after="20" w:before="20"/>
            </w:pPr>
            <w:r>
              <w:rPr>
                <w:b w:val="false"/>
                <w:bCs w:val="false"/>
                <w:sz w:val="19"/>
                <w:szCs w:val="19"/>
              </w:rPr>
              <w:t xml:space="preserve">Capital</w:t>
            </w:r>
          </w:p>
        </w:tc>
      </w:tr>
      <w:tr>
        <w:trPr>
          <w:tblHeader w:val="false"/>
        </w:trPr>
        <w:tc>
          <w:tcPr>
            <w:tcW w:type="dxa" w:w="4500"/>
            <w:shd w:fill="DCE6F1" w:color="auto" w:val="clear"/>
            <w:tcMar>
              <w:top w:type="dxa" w:w="70"/>
              <w:left w:type="dxa" w:w="110"/>
              <w:bottom w:type="dxa" w:w="70"/>
              <w:right w:type="dxa" w:w="110"/>
            </w:tcMar>
          </w:tcPr>
          <w:p>
            <w:pPr>
              <w:spacing w:after="20" w:before="20"/>
            </w:pPr>
            <w:r>
              <w:rPr>
                <w:b w:val="false"/>
                <w:bCs w:val="false"/>
                <w:sz w:val="19"/>
                <w:szCs w:val="19"/>
              </w:rPr>
              <w:t xml:space="preserve">Total capital</w:t>
            </w:r>
          </w:p>
        </w:tc>
        <w:tc>
          <w:tcPr>
            <w:tcW w:type="dxa" w:w="1800"/>
            <w:shd w:fill="DCE6F1" w:color="auto" w:val="clear"/>
            <w:tcMar>
              <w:top w:type="dxa" w:w="70"/>
              <w:left w:type="dxa" w:w="110"/>
              <w:bottom w:type="dxa" w:w="70"/>
              <w:right w:type="dxa" w:w="110"/>
            </w:tcMar>
          </w:tcPr>
          <w:p>
            <w:pPr>
              <w:spacing w:after="20" w:before="20"/>
            </w:pPr>
            <w:r>
              <w:rPr>
                <w:b w:val="false"/>
                <w:bCs w:val="false"/>
                <w:sz w:val="19"/>
                <w:szCs w:val="19"/>
              </w:rPr>
              <w:t xml:space="preserve">14,000</w:t>
            </w:r>
          </w:p>
        </w:tc>
        <w:tc>
          <w:tcPr>
            <w:tcW w:type="dxa" w:w="2700"/>
            <w:shd w:fill="DCE6F1" w:color="auto" w:val="clear"/>
            <w:tcMar>
              <w:top w:type="dxa" w:w="70"/>
              <w:left w:type="dxa" w:w="110"/>
              <w:bottom w:type="dxa" w:w="70"/>
              <w:right w:type="dxa" w:w="110"/>
            </w:tcMar>
          </w:tcPr>
          <w:p>
            <w:pPr>
              <w:spacing w:after="20" w:before="20"/>
            </w:pPr>
            <w:r>
              <w:rPr>
                <w:b w:val="false"/>
                <w:bCs w:val="false"/>
                <w:sz w:val="19"/>
                <w:szCs w:val="19"/>
              </w:rPr>
              <w:t xml:space="preserve"/>
            </w:r>
          </w:p>
        </w:tc>
      </w:tr>
      <w:tr>
        <w:trPr>
          <w:tblHeader w:val="false"/>
        </w:trPr>
        <w:tc>
          <w:tcPr>
            <w:tcW w:type="dxa" w:w="4500"/>
            <w:tcMar>
              <w:top w:type="dxa" w:w="70"/>
              <w:left w:type="dxa" w:w="110"/>
              <w:bottom w:type="dxa" w:w="70"/>
              <w:right w:type="dxa" w:w="110"/>
            </w:tcMar>
          </w:tcPr>
          <w:p>
            <w:pPr>
              <w:spacing w:after="20" w:before="20"/>
            </w:pPr>
            <w:r>
              <w:rPr>
                <w:b w:val="false"/>
                <w:bCs w:val="false"/>
                <w:sz w:val="19"/>
                <w:szCs w:val="19"/>
              </w:rPr>
              <w:t xml:space="preserve">Maintenance and support</w:t>
            </w:r>
          </w:p>
        </w:tc>
        <w:tc>
          <w:tcPr>
            <w:tcW w:type="dxa" w:w="1800"/>
            <w:tcMar>
              <w:top w:type="dxa" w:w="70"/>
              <w:left w:type="dxa" w:w="110"/>
              <w:bottom w:type="dxa" w:w="70"/>
              <w:right w:type="dxa" w:w="110"/>
            </w:tcMar>
          </w:tcPr>
          <w:p>
            <w:pPr>
              <w:spacing w:after="20" w:before="20"/>
            </w:pPr>
            <w:r>
              <w:rPr>
                <w:b w:val="false"/>
                <w:bCs w:val="false"/>
                <w:sz w:val="19"/>
                <w:szCs w:val="19"/>
              </w:rPr>
              <w:t xml:space="preserve">2,000</w:t>
            </w:r>
          </w:p>
        </w:tc>
        <w:tc>
          <w:tcPr>
            <w:tcW w:type="dxa" w:w="2700"/>
            <w:tcMar>
              <w:top w:type="dxa" w:w="70"/>
              <w:left w:type="dxa" w:w="110"/>
              <w:bottom w:type="dxa" w:w="70"/>
              <w:right w:type="dxa" w:w="110"/>
            </w:tcMar>
          </w:tcPr>
          <w:p>
            <w:pPr>
              <w:spacing w:after="20" w:before="20"/>
            </w:pPr>
            <w:r>
              <w:rPr>
                <w:b w:val="false"/>
                <w:bCs w:val="false"/>
                <w:sz w:val="19"/>
                <w:szCs w:val="19"/>
              </w:rPr>
              <w:t xml:space="preserve">Recurring, annual</w:t>
            </w:r>
          </w:p>
        </w:tc>
      </w:tr>
      <w:tr>
        <w:trPr>
          <w:tblHeader w:val="false"/>
        </w:trPr>
        <w:tc>
          <w:tcPr>
            <w:tcW w:type="dxa" w:w="4500"/>
            <w:shd w:fill="E2EFDA" w:color="auto" w:val="clear"/>
            <w:tcMar>
              <w:top w:type="dxa" w:w="70"/>
              <w:left w:type="dxa" w:w="110"/>
              <w:bottom w:type="dxa" w:w="70"/>
              <w:right w:type="dxa" w:w="110"/>
            </w:tcMar>
          </w:tcPr>
          <w:p>
            <w:pPr>
              <w:spacing w:after="20" w:before="20"/>
            </w:pPr>
            <w:r>
              <w:rPr>
                <w:b w:val="false"/>
                <w:bCs w:val="false"/>
                <w:sz w:val="19"/>
                <w:szCs w:val="19"/>
              </w:rPr>
              <w:t xml:space="preserve">Total first-year cost</w:t>
            </w:r>
          </w:p>
        </w:tc>
        <w:tc>
          <w:tcPr>
            <w:tcW w:type="dxa" w:w="1800"/>
            <w:shd w:fill="E2EFDA" w:color="auto" w:val="clear"/>
            <w:tcMar>
              <w:top w:type="dxa" w:w="70"/>
              <w:left w:type="dxa" w:w="110"/>
              <w:bottom w:type="dxa" w:w="70"/>
              <w:right w:type="dxa" w:w="110"/>
            </w:tcMar>
          </w:tcPr>
          <w:p>
            <w:pPr>
              <w:spacing w:after="20" w:before="20"/>
            </w:pPr>
            <w:r>
              <w:rPr>
                <w:b w:val="false"/>
                <w:bCs w:val="false"/>
                <w:sz w:val="19"/>
                <w:szCs w:val="19"/>
              </w:rPr>
              <w:t xml:space="preserve">16,000</w:t>
            </w:r>
          </w:p>
        </w:tc>
        <w:tc>
          <w:tcPr>
            <w:tcW w:type="dxa" w:w="2700"/>
            <w:shd w:fill="E2EFDA" w:color="auto" w:val="clear"/>
            <w:tcMar>
              <w:top w:type="dxa" w:w="70"/>
              <w:left w:type="dxa" w:w="110"/>
              <w:bottom w:type="dxa" w:w="70"/>
              <w:right w:type="dxa" w:w="110"/>
            </w:tcMar>
          </w:tcPr>
          <w:p>
            <w:pPr>
              <w:spacing w:after="20" w:before="20"/>
            </w:pPr>
            <w:r>
              <w:rPr>
                <w:b w:val="false"/>
                <w:bCs w:val="false"/>
                <w:sz w:val="19"/>
                <w:szCs w:val="19"/>
              </w:rPr>
              <w:t xml:space="preserve"/>
            </w:r>
          </w:p>
        </w:tc>
      </w:tr>
    </w:tbl>
    <w:p>
      <w:pPr>
        <w:pStyle w:val="Heading2"/>
        <w:spacing w:after="110" w:before="220"/>
      </w:pPr>
      <w:r>
        <w:rPr>
          <w:b/>
          <w:bCs/>
          <w:color w:val="0A2540"/>
          <w:sz w:val="24"/>
          <w:szCs w:val="24"/>
        </w:rPr>
        <w:t xml:space="preserve">B1.1 Returns</w:t>
      </w:r>
    </w:p>
    <w:p>
      <w:pPr>
        <w:spacing w:after="120" w:before="60"/>
      </w:pPr>
      <w:r>
        <w:rPr>
          <w:sz w:val="21"/>
          <w:szCs w:val="21"/>
        </w:rPr>
        <w:t xml:space="preserve">Payback is measured against capital only. Including recurring operating cost in a payback figure conflates a one-off outlay with an ongoing obligation and overstates the recovery period.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960"/>
        <w:gridCol w:w="5040"/>
      </w:tblGrid>
      <w:tr>
        <w:trPr>
          <w:tblHeader/>
        </w:trPr>
        <w:tc>
          <w:tcPr>
            <w:tcW w:type="dxa" w:w="3960"/>
            <w:shd w:fill="DCE6F1" w:color="auto" w:val="clear"/>
            <w:tcMar>
              <w:top w:type="dxa" w:w="70"/>
              <w:left w:type="dxa" w:w="110"/>
              <w:bottom w:type="dxa" w:w="70"/>
              <w:right w:type="dxa" w:w="110"/>
            </w:tcMar>
          </w:tcPr>
          <w:p>
            <w:pPr>
              <w:spacing w:after="20" w:before="20"/>
            </w:pPr>
            <w:r>
              <w:rPr>
                <w:b/>
                <w:bCs/>
                <w:sz w:val="19"/>
                <w:szCs w:val="19"/>
              </w:rPr>
              <w:t xml:space="preserve">Measure</w:t>
            </w:r>
          </w:p>
        </w:tc>
        <w:tc>
          <w:tcPr>
            <w:tcW w:type="dxa" w:w="5040"/>
            <w:shd w:fill="DCE6F1" w:color="auto" w:val="clear"/>
            <w:tcMar>
              <w:top w:type="dxa" w:w="70"/>
              <w:left w:type="dxa" w:w="110"/>
              <w:bottom w:type="dxa" w:w="70"/>
              <w:right w:type="dxa" w:w="110"/>
            </w:tcMar>
          </w:tcPr>
          <w:p>
            <w:pPr>
              <w:spacing w:after="20" w:before="20"/>
            </w:pPr>
            <w:r>
              <w:rPr>
                <w:b/>
                <w:bCs/>
                <w:sz w:val="19"/>
                <w:szCs w:val="19"/>
              </w:rPr>
              <w:t xml:space="preserve">Calculation</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Year 1 ROI</w:t>
            </w:r>
          </w:p>
        </w:tc>
        <w:tc>
          <w:tcPr>
            <w:tcW w:type="dxa" w:w="5040"/>
            <w:tcMar>
              <w:top w:type="dxa" w:w="70"/>
              <w:left w:type="dxa" w:w="110"/>
              <w:bottom w:type="dxa" w:w="70"/>
              <w:right w:type="dxa" w:w="110"/>
            </w:tcMar>
          </w:tcPr>
          <w:p>
            <w:pPr>
              <w:spacing w:after="20" w:before="20"/>
            </w:pPr>
            <w:r>
              <w:rPr>
                <w:b w:val="false"/>
                <w:bCs w:val="false"/>
                <w:sz w:val="19"/>
                <w:szCs w:val="19"/>
              </w:rPr>
              <w:t xml:space="preserve">(24,000 − 16,000) ÷ 16,000 = 50 %</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Net annual benefit</w:t>
            </w:r>
          </w:p>
        </w:tc>
        <w:tc>
          <w:tcPr>
            <w:tcW w:type="dxa" w:w="5040"/>
            <w:tcMar>
              <w:top w:type="dxa" w:w="70"/>
              <w:left w:type="dxa" w:w="110"/>
              <w:bottom w:type="dxa" w:w="70"/>
              <w:right w:type="dxa" w:w="110"/>
            </w:tcMar>
          </w:tcPr>
          <w:p>
            <w:pPr>
              <w:spacing w:after="20" w:before="20"/>
            </w:pPr>
            <w:r>
              <w:rPr>
                <w:b w:val="false"/>
                <w:bCs w:val="false"/>
                <w:sz w:val="19"/>
                <w:szCs w:val="19"/>
              </w:rPr>
              <w:t xml:space="preserve">24,000 − 2,000 recurring = 22,000</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Net monthly benefit</w:t>
            </w:r>
          </w:p>
        </w:tc>
        <w:tc>
          <w:tcPr>
            <w:tcW w:type="dxa" w:w="5040"/>
            <w:tcMar>
              <w:top w:type="dxa" w:w="70"/>
              <w:left w:type="dxa" w:w="110"/>
              <w:bottom w:type="dxa" w:w="70"/>
              <w:right w:type="dxa" w:w="110"/>
            </w:tcMar>
          </w:tcPr>
          <w:p>
            <w:pPr>
              <w:spacing w:after="20" w:before="20"/>
            </w:pPr>
            <w:r>
              <w:rPr>
                <w:b w:val="false"/>
                <w:bCs w:val="false"/>
                <w:sz w:val="19"/>
                <w:szCs w:val="19"/>
              </w:rPr>
              <w:t xml:space="preserve">22,000 ÷ 12 = 1,833</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Payback on capital</w:t>
            </w:r>
          </w:p>
        </w:tc>
        <w:tc>
          <w:tcPr>
            <w:tcW w:type="dxa" w:w="5040"/>
            <w:tcMar>
              <w:top w:type="dxa" w:w="70"/>
              <w:left w:type="dxa" w:w="110"/>
              <w:bottom w:type="dxa" w:w="70"/>
              <w:right w:type="dxa" w:w="110"/>
            </w:tcMar>
          </w:tcPr>
          <w:p>
            <w:pPr>
              <w:spacing w:after="20" w:before="20"/>
            </w:pPr>
            <w:r>
              <w:rPr>
                <w:b w:val="false"/>
                <w:bCs w:val="false"/>
                <w:sz w:val="19"/>
                <w:szCs w:val="19"/>
              </w:rPr>
              <w:t xml:space="preserve">14,000 ÷ 1,833 = 7.6 months</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Three-year ROI</w:t>
            </w:r>
          </w:p>
        </w:tc>
        <w:tc>
          <w:tcPr>
            <w:tcW w:type="dxa" w:w="5040"/>
            <w:tcMar>
              <w:top w:type="dxa" w:w="70"/>
              <w:left w:type="dxa" w:w="110"/>
              <w:bottom w:type="dxa" w:w="70"/>
              <w:right w:type="dxa" w:w="110"/>
            </w:tcMar>
          </w:tcPr>
          <w:p>
            <w:pPr>
              <w:spacing w:after="20" w:before="20"/>
            </w:pPr>
            <w:r>
              <w:rPr>
                <w:b w:val="false"/>
                <w:bCs w:val="false"/>
                <w:sz w:val="19"/>
                <w:szCs w:val="19"/>
              </w:rPr>
              <w:t xml:space="preserve">(72,000 − 20,000) ÷ 20,000 = 260 %</w:t>
            </w:r>
          </w:p>
        </w:tc>
      </w:tr>
    </w:tbl>
    <w:p>
      <w:pPr>
        <w:pStyle w:val="Heading2"/>
        <w:spacing w:after="110" w:before="220"/>
      </w:pPr>
      <w:r>
        <w:rPr>
          <w:b/>
          <w:bCs/>
          <w:color w:val="0A2540"/>
          <w:sz w:val="24"/>
          <w:szCs w:val="24"/>
        </w:rPr>
        <w:t xml:space="preserve">B1.2 Sensitivity</w:t>
      </w:r>
    </w:p>
    <w:p>
      <w:pPr>
        <w:spacing w:after="120" w:before="60"/>
      </w:pPr>
      <w:r>
        <w:rPr>
          <w:sz w:val="21"/>
          <w:szCs w:val="21"/>
        </w:rPr>
        <w:t xml:space="preserve">The single largest assumption is avoided downtime, which is half the gross benefit and rests on a failure interval this project cannot measure. If every benefit is half what is assumed: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960"/>
        <w:gridCol w:w="5040"/>
      </w:tblGrid>
      <w:tr>
        <w:trPr>
          <w:tblHeader/>
        </w:trPr>
        <w:tc>
          <w:tcPr>
            <w:tcW w:type="dxa" w:w="3960"/>
            <w:shd w:fill="DCE6F1" w:color="auto" w:val="clear"/>
            <w:tcMar>
              <w:top w:type="dxa" w:w="70"/>
              <w:left w:type="dxa" w:w="110"/>
              <w:bottom w:type="dxa" w:w="70"/>
              <w:right w:type="dxa" w:w="110"/>
            </w:tcMar>
          </w:tcPr>
          <w:p>
            <w:pPr>
              <w:spacing w:after="20" w:before="20"/>
            </w:pPr>
            <w:r>
              <w:rPr>
                <w:b/>
                <w:bCs/>
                <w:sz w:val="19"/>
                <w:szCs w:val="19"/>
              </w:rPr>
              <w:t xml:space="preserve">Measure</w:t>
            </w:r>
          </w:p>
        </w:tc>
        <w:tc>
          <w:tcPr>
            <w:tcW w:type="dxa" w:w="5040"/>
            <w:shd w:fill="DCE6F1" w:color="auto" w:val="clear"/>
            <w:tcMar>
              <w:top w:type="dxa" w:w="70"/>
              <w:left w:type="dxa" w:w="110"/>
              <w:bottom w:type="dxa" w:w="70"/>
              <w:right w:type="dxa" w:w="110"/>
            </w:tcMar>
          </w:tcPr>
          <w:p>
            <w:pPr>
              <w:spacing w:after="20" w:before="20"/>
            </w:pPr>
            <w:r>
              <w:rPr>
                <w:b/>
                <w:bCs/>
                <w:sz w:val="19"/>
                <w:szCs w:val="19"/>
              </w:rPr>
              <w:t xml:space="preserve">Halved-benefit case</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Gross annual benefit</w:t>
            </w:r>
          </w:p>
        </w:tc>
        <w:tc>
          <w:tcPr>
            <w:tcW w:type="dxa" w:w="5040"/>
            <w:tcMar>
              <w:top w:type="dxa" w:w="70"/>
              <w:left w:type="dxa" w:w="110"/>
              <w:bottom w:type="dxa" w:w="70"/>
              <w:right w:type="dxa" w:w="110"/>
            </w:tcMar>
          </w:tcPr>
          <w:p>
            <w:pPr>
              <w:spacing w:after="20" w:before="20"/>
            </w:pPr>
            <w:r>
              <w:rPr>
                <w:b w:val="false"/>
                <w:bCs w:val="false"/>
                <w:sz w:val="19"/>
                <w:szCs w:val="19"/>
              </w:rPr>
              <w:t xml:space="preserve">12,000</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Net annual benefit</w:t>
            </w:r>
          </w:p>
        </w:tc>
        <w:tc>
          <w:tcPr>
            <w:tcW w:type="dxa" w:w="5040"/>
            <w:tcMar>
              <w:top w:type="dxa" w:w="70"/>
              <w:left w:type="dxa" w:w="110"/>
              <w:bottom w:type="dxa" w:w="70"/>
              <w:right w:type="dxa" w:w="110"/>
            </w:tcMar>
          </w:tcPr>
          <w:p>
            <w:pPr>
              <w:spacing w:after="20" w:before="20"/>
            </w:pPr>
            <w:r>
              <w:rPr>
                <w:b w:val="false"/>
                <w:bCs w:val="false"/>
                <w:sz w:val="19"/>
                <w:szCs w:val="19"/>
              </w:rPr>
              <w:t xml:space="preserve">10,000</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Payback on capital</w:t>
            </w:r>
          </w:p>
        </w:tc>
        <w:tc>
          <w:tcPr>
            <w:tcW w:type="dxa" w:w="5040"/>
            <w:tcMar>
              <w:top w:type="dxa" w:w="70"/>
              <w:left w:type="dxa" w:w="110"/>
              <w:bottom w:type="dxa" w:w="70"/>
              <w:right w:type="dxa" w:w="110"/>
            </w:tcMar>
          </w:tcPr>
          <w:p>
            <w:pPr>
              <w:spacing w:after="20" w:before="20"/>
            </w:pPr>
            <w:r>
              <w:rPr>
                <w:b w:val="false"/>
                <w:bCs w:val="false"/>
                <w:sz w:val="19"/>
                <w:szCs w:val="19"/>
              </w:rPr>
              <w:t xml:space="preserve">16.8 months</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Year 1 ROI</w:t>
            </w:r>
          </w:p>
        </w:tc>
        <w:tc>
          <w:tcPr>
            <w:tcW w:type="dxa" w:w="5040"/>
            <w:tcMar>
              <w:top w:type="dxa" w:w="70"/>
              <w:left w:type="dxa" w:w="110"/>
              <w:bottom w:type="dxa" w:w="70"/>
              <w:right w:type="dxa" w:w="110"/>
            </w:tcMar>
          </w:tcPr>
          <w:p>
            <w:pPr>
              <w:spacing w:after="20" w:before="20"/>
            </w:pPr>
            <w:r>
              <w:rPr>
                <w:b w:val="false"/>
                <w:bCs w:val="false"/>
                <w:sz w:val="19"/>
                <w:szCs w:val="19"/>
              </w:rPr>
              <w:t xml:space="preserve">negative — the first year does not recover its own cost</w:t>
            </w:r>
          </w:p>
        </w:tc>
      </w:tr>
      <w:tr>
        <w:trPr>
          <w:tblHeader w:val="false"/>
        </w:trPr>
        <w:tc>
          <w:tcPr>
            <w:tcW w:type="dxa" w:w="3960"/>
            <w:tcMar>
              <w:top w:type="dxa" w:w="70"/>
              <w:left w:type="dxa" w:w="110"/>
              <w:bottom w:type="dxa" w:w="70"/>
              <w:right w:type="dxa" w:w="110"/>
            </w:tcMar>
          </w:tcPr>
          <w:p>
            <w:pPr>
              <w:spacing w:after="20" w:before="20"/>
            </w:pPr>
            <w:r>
              <w:rPr>
                <w:b w:val="false"/>
                <w:bCs w:val="false"/>
                <w:sz w:val="19"/>
                <w:szCs w:val="19"/>
              </w:rPr>
              <w:t xml:space="preserve">Three-year ROI</w:t>
            </w:r>
          </w:p>
        </w:tc>
        <w:tc>
          <w:tcPr>
            <w:tcW w:type="dxa" w:w="5040"/>
            <w:tcMar>
              <w:top w:type="dxa" w:w="70"/>
              <w:left w:type="dxa" w:w="110"/>
              <w:bottom w:type="dxa" w:w="70"/>
              <w:right w:type="dxa" w:w="110"/>
            </w:tcMar>
          </w:tcPr>
          <w:p>
            <w:pPr>
              <w:spacing w:after="20" w:before="20"/>
            </w:pPr>
            <w:r>
              <w:rPr>
                <w:b w:val="false"/>
                <w:bCs w:val="false"/>
                <w:sz w:val="19"/>
                <w:szCs w:val="19"/>
              </w:rPr>
              <w:t xml:space="preserve">(36,000 − 20,000) ÷ 20,000 = 80 %</w:t>
            </w:r>
          </w:p>
        </w:tc>
      </w:tr>
    </w:tbl>
    <w:p>
      <w:pPr>
        <w:spacing w:after="120" w:before="60"/>
      </w:pPr>
      <w:r>
        <w:rPr>
          <w:i/>
          <w:iCs/>
          <w:sz w:val="21"/>
          <w:szCs w:val="21"/>
        </w:rPr>
        <w:t xml:space="preserve">The project still returns over a three-year horizon in the halved case, but not within the first year. Presenting only the base case would misrepresent that. The pilot phase exists specifically to replace the assumed downtime interval with a measured one before larger capital is committed.</w:t>
      </w:r>
    </w:p>
    <w:p>
      <w:pPr>
        <w:pStyle w:val="Heading2"/>
        <w:spacing w:after="110" w:before="220"/>
      </w:pPr>
      <w:r>
        <w:rPr>
          <w:b/>
          <w:bCs/>
          <w:color w:val="0A2540"/>
          <w:sz w:val="24"/>
          <w:szCs w:val="24"/>
        </w:rPr>
        <w:t xml:space="preserve">B2. Deployment roadmap</w:t>
      </w:r>
    </w:p>
    <w:p>
      <w:pPr>
        <w:spacing w:after="120" w:before="60"/>
      </w:pPr>
      <w:r>
        <w:rPr>
          <w:sz w:val="21"/>
          <w:szCs w:val="21"/>
        </w:rPr>
        <w:t xml:space="preserve">Each phase is scoped to answer the question the next phase depends on, so that capital is committed only after the preceding uncertainty is resolved.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720"/>
        <w:gridCol w:w="1800"/>
        <w:gridCol w:w="3060"/>
        <w:gridCol w:w="3420"/>
      </w:tblGrid>
      <w:tr>
        <w:trPr>
          <w:tblHeader/>
        </w:trPr>
        <w:tc>
          <w:tcPr>
            <w:tcW w:type="dxa" w:w="720"/>
            <w:shd w:fill="DCE6F1" w:color="auto" w:val="clear"/>
            <w:tcMar>
              <w:top w:type="dxa" w:w="70"/>
              <w:left w:type="dxa" w:w="110"/>
              <w:bottom w:type="dxa" w:w="70"/>
              <w:right w:type="dxa" w:w="110"/>
            </w:tcMar>
          </w:tcPr>
          <w:p>
            <w:pPr>
              <w:spacing w:after="20" w:before="20"/>
            </w:pPr>
            <w:r>
              <w:rPr>
                <w:b/>
                <w:bCs/>
                <w:sz w:val="19"/>
                <w:szCs w:val="19"/>
              </w:rPr>
              <w:t xml:space="preserve">#</w:t>
            </w:r>
          </w:p>
        </w:tc>
        <w:tc>
          <w:tcPr>
            <w:tcW w:type="dxa" w:w="1800"/>
            <w:shd w:fill="DCE6F1" w:color="auto" w:val="clear"/>
            <w:tcMar>
              <w:top w:type="dxa" w:w="70"/>
              <w:left w:type="dxa" w:w="110"/>
              <w:bottom w:type="dxa" w:w="70"/>
              <w:right w:type="dxa" w:w="110"/>
            </w:tcMar>
          </w:tcPr>
          <w:p>
            <w:pPr>
              <w:spacing w:after="20" w:before="20"/>
            </w:pPr>
            <w:r>
              <w:rPr>
                <w:b/>
                <w:bCs/>
                <w:sz w:val="19"/>
                <w:szCs w:val="19"/>
              </w:rPr>
              <w:t xml:space="preserve">Phase</w:t>
            </w:r>
          </w:p>
        </w:tc>
        <w:tc>
          <w:tcPr>
            <w:tcW w:type="dxa" w:w="3060"/>
            <w:shd w:fill="DCE6F1" w:color="auto" w:val="clear"/>
            <w:tcMar>
              <w:top w:type="dxa" w:w="70"/>
              <w:left w:type="dxa" w:w="110"/>
              <w:bottom w:type="dxa" w:w="70"/>
              <w:right w:type="dxa" w:w="110"/>
            </w:tcMar>
          </w:tcPr>
          <w:p>
            <w:pPr>
              <w:spacing w:after="20" w:before="20"/>
            </w:pPr>
            <w:r>
              <w:rPr>
                <w:b/>
                <w:bCs/>
                <w:sz w:val="19"/>
                <w:szCs w:val="19"/>
              </w:rPr>
              <w:t xml:space="preserve">Scope</w:t>
            </w:r>
          </w:p>
        </w:tc>
        <w:tc>
          <w:tcPr>
            <w:tcW w:type="dxa" w:w="3420"/>
            <w:shd w:fill="DCE6F1" w:color="auto" w:val="clear"/>
            <w:tcMar>
              <w:top w:type="dxa" w:w="70"/>
              <w:left w:type="dxa" w:w="110"/>
              <w:bottom w:type="dxa" w:w="70"/>
              <w:right w:type="dxa" w:w="110"/>
            </w:tcMar>
          </w:tcPr>
          <w:p>
            <w:pPr>
              <w:spacing w:after="20" w:before="20"/>
            </w:pPr>
            <w:r>
              <w:rPr>
                <w:b/>
                <w:bCs/>
                <w:sz w:val="19"/>
                <w:szCs w:val="19"/>
              </w:rPr>
              <w:t xml:space="preserve">What it establishes</w:t>
            </w:r>
          </w:p>
        </w:tc>
      </w:tr>
      <w:tr>
        <w:trPr>
          <w:tblHeader w:val="false"/>
        </w:trPr>
        <w:tc>
          <w:tcPr>
            <w:tcW w:type="dxa" w:w="720"/>
            <w:tcMar>
              <w:top w:type="dxa" w:w="70"/>
              <w:left w:type="dxa" w:w="110"/>
              <w:bottom w:type="dxa" w:w="70"/>
              <w:right w:type="dxa" w:w="110"/>
            </w:tcMar>
          </w:tcPr>
          <w:p>
            <w:pPr>
              <w:spacing w:after="20" w:before="20"/>
            </w:pPr>
            <w:r>
              <w:rPr>
                <w:b w:val="false"/>
                <w:bCs w:val="false"/>
                <w:sz w:val="19"/>
                <w:szCs w:val="19"/>
              </w:rPr>
              <w:t xml:space="preserve">1</w:t>
            </w:r>
          </w:p>
        </w:tc>
        <w:tc>
          <w:tcPr>
            <w:tcW w:type="dxa" w:w="1800"/>
            <w:tcMar>
              <w:top w:type="dxa" w:w="70"/>
              <w:left w:type="dxa" w:w="110"/>
              <w:bottom w:type="dxa" w:w="70"/>
              <w:right w:type="dxa" w:w="110"/>
            </w:tcMar>
          </w:tcPr>
          <w:p>
            <w:pPr>
              <w:spacing w:after="20" w:before="20"/>
            </w:pPr>
            <w:r>
              <w:rPr>
                <w:b w:val="false"/>
                <w:bCs w:val="false"/>
                <w:sz w:val="19"/>
                <w:szCs w:val="19"/>
              </w:rPr>
              <w:t xml:space="preserve">Prototype</w:t>
            </w:r>
          </w:p>
        </w:tc>
        <w:tc>
          <w:tcPr>
            <w:tcW w:type="dxa" w:w="3060"/>
            <w:tcMar>
              <w:top w:type="dxa" w:w="70"/>
              <w:left w:type="dxa" w:w="110"/>
              <w:bottom w:type="dxa" w:w="70"/>
              <w:right w:type="dxa" w:w="110"/>
            </w:tcMar>
          </w:tcPr>
          <w:p>
            <w:pPr>
              <w:spacing w:after="20" w:before="20"/>
            </w:pPr>
            <w:r>
              <w:rPr>
                <w:b w:val="false"/>
                <w:bCs w:val="false"/>
                <w:sz w:val="19"/>
                <w:szCs w:val="19"/>
              </w:rPr>
              <w:t xml:space="preserve">Simulated room, six twins, central orchestration, predictive model, dashboard</w:t>
            </w:r>
          </w:p>
        </w:tc>
        <w:tc>
          <w:tcPr>
            <w:tcW w:type="dxa" w:w="3420"/>
            <w:tcMar>
              <w:top w:type="dxa" w:w="70"/>
              <w:left w:type="dxa" w:w="110"/>
              <w:bottom w:type="dxa" w:w="70"/>
              <w:right w:type="dxa" w:w="110"/>
            </w:tcMar>
          </w:tcPr>
          <w:p>
            <w:pPr>
              <w:spacing w:after="20" w:before="20"/>
            </w:pPr>
            <w:r>
              <w:rPr>
                <w:b w:val="false"/>
                <w:bCs w:val="false"/>
                <w:sz w:val="19"/>
                <w:szCs w:val="19"/>
              </w:rPr>
              <w:t xml:space="preserve">That the method works end to end. It establishes nothing about a physical CRAC unit.</w:t>
            </w:r>
          </w:p>
        </w:tc>
      </w:tr>
      <w:tr>
        <w:trPr>
          <w:tblHeader w:val="false"/>
        </w:trPr>
        <w:tc>
          <w:tcPr>
            <w:tcW w:type="dxa" w:w="720"/>
            <w:tcMar>
              <w:top w:type="dxa" w:w="70"/>
              <w:left w:type="dxa" w:w="110"/>
              <w:bottom w:type="dxa" w:w="70"/>
              <w:right w:type="dxa" w:w="110"/>
            </w:tcMar>
          </w:tcPr>
          <w:p>
            <w:pPr>
              <w:spacing w:after="20" w:before="20"/>
            </w:pPr>
            <w:r>
              <w:rPr>
                <w:b w:val="false"/>
                <w:bCs w:val="false"/>
                <w:sz w:val="19"/>
                <w:szCs w:val="19"/>
              </w:rPr>
              <w:t xml:space="preserve">2</w:t>
            </w:r>
          </w:p>
        </w:tc>
        <w:tc>
          <w:tcPr>
            <w:tcW w:type="dxa" w:w="1800"/>
            <w:tcMar>
              <w:top w:type="dxa" w:w="70"/>
              <w:left w:type="dxa" w:w="110"/>
              <w:bottom w:type="dxa" w:w="70"/>
              <w:right w:type="dxa" w:w="110"/>
            </w:tcMar>
          </w:tcPr>
          <w:p>
            <w:pPr>
              <w:spacing w:after="20" w:before="20"/>
            </w:pPr>
            <w:r>
              <w:rPr>
                <w:b w:val="false"/>
                <w:bCs w:val="false"/>
                <w:sz w:val="19"/>
                <w:szCs w:val="19"/>
              </w:rPr>
              <w:t xml:space="preserve">Live pilot</w:t>
            </w:r>
          </w:p>
        </w:tc>
        <w:tc>
          <w:tcPr>
            <w:tcW w:type="dxa" w:w="3060"/>
            <w:tcMar>
              <w:top w:type="dxa" w:w="70"/>
              <w:left w:type="dxa" w:w="110"/>
              <w:bottom w:type="dxa" w:w="70"/>
              <w:right w:type="dxa" w:w="110"/>
            </w:tcMar>
          </w:tcPr>
          <w:p>
            <w:pPr>
              <w:spacing w:after="20" w:before="20"/>
            </w:pPr>
            <w:r>
              <w:rPr>
                <w:b w:val="false"/>
                <w:bCs w:val="false"/>
                <w:sz w:val="19"/>
                <w:szCs w:val="19"/>
              </w:rPr>
              <w:t xml:space="preserve">One production CRAC, physical sensors, shadow mode — predictions recorded, not acted on</w:t>
            </w:r>
          </w:p>
        </w:tc>
        <w:tc>
          <w:tcPr>
            <w:tcW w:type="dxa" w:w="3420"/>
            <w:tcMar>
              <w:top w:type="dxa" w:w="70"/>
              <w:left w:type="dxa" w:w="110"/>
              <w:bottom w:type="dxa" w:w="70"/>
              <w:right w:type="dxa" w:w="110"/>
            </w:tcMar>
          </w:tcPr>
          <w:p>
            <w:pPr>
              <w:spacing w:after="20" w:before="20"/>
            </w:pPr>
            <w:r>
              <w:rPr>
                <w:b w:val="false"/>
                <w:bCs w:val="false"/>
                <w:sz w:val="19"/>
                <w:szCs w:val="19"/>
              </w:rPr>
              <w:t xml:space="preserve">Whether the model survives real sensor noise, and what the true undetected-fault interval is. This replaces the largest assumption in the ROI model.</w:t>
            </w:r>
          </w:p>
        </w:tc>
      </w:tr>
      <w:tr>
        <w:trPr>
          <w:tblHeader w:val="false"/>
        </w:trPr>
        <w:tc>
          <w:tcPr>
            <w:tcW w:type="dxa" w:w="720"/>
            <w:tcMar>
              <w:top w:type="dxa" w:w="70"/>
              <w:left w:type="dxa" w:w="110"/>
              <w:bottom w:type="dxa" w:w="70"/>
              <w:right w:type="dxa" w:w="110"/>
            </w:tcMar>
          </w:tcPr>
          <w:p>
            <w:pPr>
              <w:spacing w:after="20" w:before="20"/>
            </w:pPr>
            <w:r>
              <w:rPr>
                <w:b w:val="false"/>
                <w:bCs w:val="false"/>
                <w:sz w:val="19"/>
                <w:szCs w:val="19"/>
              </w:rPr>
              <w:t xml:space="preserve">3</w:t>
            </w:r>
          </w:p>
        </w:tc>
        <w:tc>
          <w:tcPr>
            <w:tcW w:type="dxa" w:w="1800"/>
            <w:tcMar>
              <w:top w:type="dxa" w:w="70"/>
              <w:left w:type="dxa" w:w="110"/>
              <w:bottom w:type="dxa" w:w="70"/>
              <w:right w:type="dxa" w:w="110"/>
            </w:tcMar>
          </w:tcPr>
          <w:p>
            <w:pPr>
              <w:spacing w:after="20" w:before="20"/>
            </w:pPr>
            <w:r>
              <w:rPr>
                <w:b w:val="false"/>
                <w:bCs w:val="false"/>
                <w:sz w:val="19"/>
                <w:szCs w:val="19"/>
              </w:rPr>
              <w:t xml:space="preserve">Full server room</w:t>
            </w:r>
          </w:p>
        </w:tc>
        <w:tc>
          <w:tcPr>
            <w:tcW w:type="dxa" w:w="3060"/>
            <w:tcMar>
              <w:top w:type="dxa" w:w="70"/>
              <w:left w:type="dxa" w:w="110"/>
              <w:bottom w:type="dxa" w:w="70"/>
              <w:right w:type="dxa" w:w="110"/>
            </w:tcMar>
          </w:tcPr>
          <w:p>
            <w:pPr>
              <w:spacing w:after="20" w:before="20"/>
            </w:pPr>
            <w:r>
              <w:rPr>
                <w:b w:val="false"/>
                <w:bCs w:val="false"/>
                <w:sz w:val="19"/>
                <w:szCs w:val="19"/>
              </w:rPr>
              <w:t xml:space="preserve">All CRAC units, integration with the maintenance management system</w:t>
            </w:r>
          </w:p>
        </w:tc>
        <w:tc>
          <w:tcPr>
            <w:tcW w:type="dxa" w:w="3420"/>
            <w:tcMar>
              <w:top w:type="dxa" w:w="70"/>
              <w:left w:type="dxa" w:w="110"/>
              <w:bottom w:type="dxa" w:w="70"/>
              <w:right w:type="dxa" w:w="110"/>
            </w:tcMar>
          </w:tcPr>
          <w:p>
            <w:pPr>
              <w:spacing w:after="20" w:before="20"/>
            </w:pPr>
            <w:r>
              <w:rPr>
                <w:b w:val="false"/>
                <w:bCs w:val="false"/>
                <w:sz w:val="19"/>
                <w:szCs w:val="19"/>
              </w:rPr>
              <w:t xml:space="preserve">Whether the advice changes what maintenance actually does. Per-unit capital falls sharply here as integration cost is already sunk.</w:t>
            </w:r>
          </w:p>
        </w:tc>
      </w:tr>
      <w:tr>
        <w:trPr>
          <w:tblHeader w:val="false"/>
        </w:trPr>
        <w:tc>
          <w:tcPr>
            <w:tcW w:type="dxa" w:w="720"/>
            <w:tcMar>
              <w:top w:type="dxa" w:w="70"/>
              <w:left w:type="dxa" w:w="110"/>
              <w:bottom w:type="dxa" w:w="70"/>
              <w:right w:type="dxa" w:w="110"/>
            </w:tcMar>
          </w:tcPr>
          <w:p>
            <w:pPr>
              <w:spacing w:after="20" w:before="20"/>
            </w:pPr>
            <w:r>
              <w:rPr>
                <w:b w:val="false"/>
                <w:bCs w:val="false"/>
                <w:sz w:val="19"/>
                <w:szCs w:val="19"/>
              </w:rPr>
              <w:t xml:space="preserve">4</w:t>
            </w:r>
          </w:p>
        </w:tc>
        <w:tc>
          <w:tcPr>
            <w:tcW w:type="dxa" w:w="1800"/>
            <w:tcMar>
              <w:top w:type="dxa" w:w="70"/>
              <w:left w:type="dxa" w:w="110"/>
              <w:bottom w:type="dxa" w:w="70"/>
              <w:right w:type="dxa" w:w="110"/>
            </w:tcMar>
          </w:tcPr>
          <w:p>
            <w:pPr>
              <w:spacing w:after="20" w:before="20"/>
            </w:pPr>
            <w:r>
              <w:rPr>
                <w:b w:val="false"/>
                <w:bCs w:val="false"/>
                <w:sz w:val="19"/>
                <w:szCs w:val="19"/>
              </w:rPr>
              <w:t xml:space="preserve">Multi-room</w:t>
            </w:r>
          </w:p>
        </w:tc>
        <w:tc>
          <w:tcPr>
            <w:tcW w:type="dxa" w:w="3060"/>
            <w:tcMar>
              <w:top w:type="dxa" w:w="70"/>
              <w:left w:type="dxa" w:w="110"/>
              <w:bottom w:type="dxa" w:w="70"/>
              <w:right w:type="dxa" w:w="110"/>
            </w:tcMar>
          </w:tcPr>
          <w:p>
            <w:pPr>
              <w:spacing w:after="20" w:before="20"/>
            </w:pPr>
            <w:r>
              <w:rPr>
                <w:b w:val="false"/>
                <w:bCs w:val="false"/>
                <w:sz w:val="19"/>
                <w:szCs w:val="19"/>
              </w:rPr>
              <w:t xml:space="preserve">Several rooms, federation layer between room-level twins</w:t>
            </w:r>
          </w:p>
        </w:tc>
        <w:tc>
          <w:tcPr>
            <w:tcW w:type="dxa" w:w="3420"/>
            <w:tcMar>
              <w:top w:type="dxa" w:w="70"/>
              <w:left w:type="dxa" w:w="110"/>
              <w:bottom w:type="dxa" w:w="70"/>
              <w:right w:type="dxa" w:w="110"/>
            </w:tcMar>
          </w:tcPr>
          <w:p>
            <w:pPr>
              <w:spacing w:after="20" w:before="20"/>
            </w:pPr>
            <w:r>
              <w:rPr>
                <w:b w:val="false"/>
                <w:bCs w:val="false"/>
                <w:sz w:val="19"/>
                <w:szCs w:val="19"/>
              </w:rPr>
              <w:t xml:space="preserve">That centralized-within-zone and federated-across-zones is the correct split at scale.</w:t>
            </w:r>
          </w:p>
        </w:tc>
      </w:tr>
      <w:tr>
        <w:trPr>
          <w:tblHeader w:val="false"/>
        </w:trPr>
        <w:tc>
          <w:tcPr>
            <w:tcW w:type="dxa" w:w="720"/>
            <w:tcMar>
              <w:top w:type="dxa" w:w="70"/>
              <w:left w:type="dxa" w:w="110"/>
              <w:bottom w:type="dxa" w:w="70"/>
              <w:right w:type="dxa" w:w="110"/>
            </w:tcMar>
          </w:tcPr>
          <w:p>
            <w:pPr>
              <w:spacing w:after="20" w:before="20"/>
            </w:pPr>
            <w:r>
              <w:rPr>
                <w:b w:val="false"/>
                <w:bCs w:val="false"/>
                <w:sz w:val="19"/>
                <w:szCs w:val="19"/>
              </w:rPr>
              <w:t xml:space="preserve">5</w:t>
            </w:r>
          </w:p>
        </w:tc>
        <w:tc>
          <w:tcPr>
            <w:tcW w:type="dxa" w:w="1800"/>
            <w:tcMar>
              <w:top w:type="dxa" w:w="70"/>
              <w:left w:type="dxa" w:w="110"/>
              <w:bottom w:type="dxa" w:w="70"/>
              <w:right w:type="dxa" w:w="110"/>
            </w:tcMar>
          </w:tcPr>
          <w:p>
            <w:pPr>
              <w:spacing w:after="20" w:before="20"/>
            </w:pPr>
            <w:r>
              <w:rPr>
                <w:b w:val="false"/>
                <w:bCs w:val="false"/>
                <w:sz w:val="19"/>
                <w:szCs w:val="19"/>
              </w:rPr>
              <w:t xml:space="preserve">Bounded autonomy</w:t>
            </w:r>
          </w:p>
        </w:tc>
        <w:tc>
          <w:tcPr>
            <w:tcW w:type="dxa" w:w="3060"/>
            <w:tcMar>
              <w:top w:type="dxa" w:w="70"/>
              <w:left w:type="dxa" w:w="110"/>
              <w:bottom w:type="dxa" w:w="70"/>
              <w:right w:type="dxa" w:w="110"/>
            </w:tcMar>
          </w:tcPr>
          <w:p>
            <w:pPr>
              <w:spacing w:after="20" w:before="20"/>
            </w:pPr>
            <w:r>
              <w:rPr>
                <w:b w:val="false"/>
                <w:bCs w:val="false"/>
                <w:sz w:val="19"/>
                <w:szCs w:val="19"/>
              </w:rPr>
              <w:t xml:space="preserve">Automatic execution limited to setpoint adjustment within ±1 °C and workload redistribution</w:t>
            </w:r>
          </w:p>
        </w:tc>
        <w:tc>
          <w:tcPr>
            <w:tcW w:type="dxa" w:w="3420"/>
            <w:tcMar>
              <w:top w:type="dxa" w:w="70"/>
              <w:left w:type="dxa" w:w="110"/>
              <w:bottom w:type="dxa" w:w="70"/>
              <w:right w:type="dxa" w:w="110"/>
            </w:tcMar>
          </w:tcPr>
          <w:p>
            <w:pPr>
              <w:spacing w:after="20" w:before="20"/>
            </w:pPr>
            <w:r>
              <w:rPr>
                <w:b w:val="false"/>
                <w:bCs w:val="false"/>
                <w:sz w:val="19"/>
                <w:szCs w:val="19"/>
              </w:rPr>
              <w:t xml:space="preserve">That autonomy can be narrow without being general. Restricted to actions whose worst outcome is a slightly warmer room.</w:t>
            </w:r>
          </w:p>
        </w:tc>
      </w:tr>
    </w:tbl>
    <w:p>
      <w:pPr>
        <w:spacing w:after="140"/>
      </w:pPr>
    </w:p>
    <w:tbl>
      <w:tblPr>
        <w:tblW w:type="dxa" w:w="9000"/>
        <w:tblBorders>
          <w:top w:val="single" w:color="0A2540" w:sz="4"/>
          <w:left w:val="single" w:color="0A2540" w:sz="18"/>
          <w:bottom w:val="single" w:color="0A2540" w:sz="4"/>
          <w:right w:val="single" w:color="0A2540" w:sz="4"/>
          <w:insideH w:val="single" w:color="auto" w:sz="4"/>
          <w:insideV w:val="single" w:color="auto" w:sz="4"/>
        </w:tblBorders>
      </w:tblPr>
      <w:tblGrid>
        <w:gridCol w:w="9000"/>
      </w:tblGrid>
      <w:tr>
        <w:tc>
          <w:tcPr>
            <w:tcW w:type="dxa" w:w="9000"/>
            <w:shd w:fill="E2EFDA" w:color="auto" w:val="clear"/>
            <w:tcMar>
              <w:top w:type="dxa" w:w="130"/>
              <w:left w:type="dxa" w:w="170"/>
              <w:bottom w:type="dxa" w:w="130"/>
              <w:right w:type="dxa" w:w="140"/>
            </w:tcMar>
          </w:tcPr>
          <w:p>
            <w:r>
              <w:rPr>
                <w:b/>
                <w:bCs/>
                <w:sz w:val="21"/>
                <w:szCs w:val="21"/>
              </w:rPr>
              <w:t xml:space="preserve">Autonomy is last for a measured reason, not from caution. A model that under-detects unfamiliar failure mechanisms should not be given control authority, because its failure mode is silence rather than error. Automatic action is therefore confined to changes that are safe even when the model is wrong.</w:t>
            </w:r>
          </w:p>
        </w:tc>
      </w:tr>
    </w:tbl>
    <w:p>
      <w:pPr>
        <w:pStyle w:val="Heading2"/>
        <w:spacing w:after="110" w:before="220"/>
      </w:pPr>
      <w:r>
        <w:rPr>
          <w:b/>
          <w:bCs/>
          <w:color w:val="0A2540"/>
          <w:sz w:val="24"/>
          <w:szCs w:val="24"/>
        </w:rPr>
        <w:t xml:space="preserve">B3. Risks to the business case</w:t>
      </w:r>
    </w:p>
    <w:p>
      <w:pPr>
        <w:spacing w:after="120" w:before="60"/>
      </w:pPr>
      <w:r>
        <w:rPr>
          <w:sz w:val="21"/>
          <w:szCs w:val="21"/>
        </w:rPr>
        <w:t xml:space="preserve">A business case that lists only upside is not a business case. These are the conditions under which the recommendation should change.</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060"/>
        <w:gridCol w:w="5940"/>
      </w:tblGrid>
      <w:tr>
        <w:trPr>
          <w:tblHeader/>
        </w:trPr>
        <w:tc>
          <w:tcPr>
            <w:tcW w:type="dxa" w:w="3060"/>
            <w:shd w:fill="DCE6F1" w:color="auto" w:val="clear"/>
            <w:tcMar>
              <w:top w:type="dxa" w:w="70"/>
              <w:left w:type="dxa" w:w="110"/>
              <w:bottom w:type="dxa" w:w="70"/>
              <w:right w:type="dxa" w:w="110"/>
            </w:tcMar>
          </w:tcPr>
          <w:p>
            <w:pPr>
              <w:spacing w:after="20" w:before="20"/>
            </w:pPr>
            <w:r>
              <w:rPr>
                <w:b/>
                <w:bCs/>
                <w:sz w:val="19"/>
                <w:szCs w:val="19"/>
              </w:rPr>
              <w:t xml:space="preserve">Risk</w:t>
            </w:r>
          </w:p>
        </w:tc>
        <w:tc>
          <w:tcPr>
            <w:tcW w:type="dxa" w:w="5940"/>
            <w:shd w:fill="DCE6F1" w:color="auto" w:val="clear"/>
            <w:tcMar>
              <w:top w:type="dxa" w:w="70"/>
              <w:left w:type="dxa" w:w="110"/>
              <w:bottom w:type="dxa" w:w="70"/>
              <w:right w:type="dxa" w:w="110"/>
            </w:tcMar>
          </w:tcPr>
          <w:p>
            <w:pPr>
              <w:spacing w:after="20" w:before="20"/>
            </w:pPr>
            <w:r>
              <w:rPr>
                <w:b/>
                <w:bCs/>
                <w:sz w:val="19"/>
                <w:szCs w:val="19"/>
              </w:rPr>
              <w:t xml:space="preserve">Effect and mitigation</w:t>
            </w:r>
          </w:p>
        </w:tc>
      </w:tr>
      <w:tr>
        <w:trPr>
          <w:tblHeader w:val="false"/>
        </w:trPr>
        <w:tc>
          <w:tcPr>
            <w:tcW w:type="dxa" w:w="3060"/>
            <w:tcMar>
              <w:top w:type="dxa" w:w="70"/>
              <w:left w:type="dxa" w:w="110"/>
              <w:bottom w:type="dxa" w:w="70"/>
              <w:right w:type="dxa" w:w="110"/>
            </w:tcMar>
          </w:tcPr>
          <w:p>
            <w:pPr>
              <w:spacing w:after="20" w:before="20"/>
            </w:pPr>
            <w:r>
              <w:rPr>
                <w:b w:val="false"/>
                <w:bCs w:val="false"/>
                <w:sz w:val="19"/>
                <w:szCs w:val="19"/>
              </w:rPr>
              <w:t xml:space="preserve">Real sensors are noisier than simulated ones</w:t>
            </w:r>
          </w:p>
        </w:tc>
        <w:tc>
          <w:tcPr>
            <w:tcW w:type="dxa" w:w="5940"/>
            <w:tcMar>
              <w:top w:type="dxa" w:w="70"/>
              <w:left w:type="dxa" w:w="110"/>
              <w:bottom w:type="dxa" w:w="70"/>
              <w:right w:type="dxa" w:w="110"/>
            </w:tcMar>
          </w:tcPr>
          <w:p>
            <w:pPr>
              <w:spacing w:after="20" w:before="20"/>
            </w:pPr>
            <w:r>
              <w:rPr>
                <w:b w:val="false"/>
                <w:bCs w:val="false"/>
                <w:sz w:val="19"/>
                <w:szCs w:val="19"/>
              </w:rPr>
              <w:t xml:space="preserve">All performance figures derive from a simulator whose noise model is optimistic. Trend features are the most flattered by clean data and are also the ones carrying the predictive advantage. Phase 2 exists to test exactly this.</w:t>
            </w:r>
          </w:p>
        </w:tc>
      </w:tr>
      <w:tr>
        <w:trPr>
          <w:tblHeader w:val="false"/>
        </w:trPr>
        <w:tc>
          <w:tcPr>
            <w:tcW w:type="dxa" w:w="3060"/>
            <w:tcMar>
              <w:top w:type="dxa" w:w="70"/>
              <w:left w:type="dxa" w:w="110"/>
              <w:bottom w:type="dxa" w:w="70"/>
              <w:right w:type="dxa" w:w="110"/>
            </w:tcMar>
          </w:tcPr>
          <w:p>
            <w:pPr>
              <w:spacing w:after="20" w:before="20"/>
            </w:pPr>
            <w:r>
              <w:rPr>
                <w:b w:val="false"/>
                <w:bCs w:val="false"/>
                <w:sz w:val="19"/>
                <w:szCs w:val="19"/>
              </w:rPr>
              <w:t xml:space="preserve">The assumed failure interval is wrong</w:t>
            </w:r>
          </w:p>
        </w:tc>
        <w:tc>
          <w:tcPr>
            <w:tcW w:type="dxa" w:w="5940"/>
            <w:tcMar>
              <w:top w:type="dxa" w:w="70"/>
              <w:left w:type="dxa" w:w="110"/>
              <w:bottom w:type="dxa" w:w="70"/>
              <w:right w:type="dxa" w:w="110"/>
            </w:tcMar>
          </w:tcPr>
          <w:p>
            <w:pPr>
              <w:spacing w:after="20" w:before="20"/>
            </w:pPr>
            <w:r>
              <w:rPr>
                <w:b w:val="false"/>
                <w:bCs w:val="false"/>
                <w:sz w:val="19"/>
                <w:szCs w:val="19"/>
              </w:rPr>
              <w:t xml:space="preserve">Avoided downtime is half the gross benefit and rests on an interval no data here supports. Phase 2 measures it directly in shadow mode.</w:t>
            </w:r>
          </w:p>
        </w:tc>
      </w:tr>
      <w:tr>
        <w:trPr>
          <w:tblHeader w:val="false"/>
        </w:trPr>
        <w:tc>
          <w:tcPr>
            <w:tcW w:type="dxa" w:w="3060"/>
            <w:tcMar>
              <w:top w:type="dxa" w:w="70"/>
              <w:left w:type="dxa" w:w="110"/>
              <w:bottom w:type="dxa" w:w="70"/>
              <w:right w:type="dxa" w:w="110"/>
            </w:tcMar>
          </w:tcPr>
          <w:p>
            <w:pPr>
              <w:spacing w:after="20" w:before="20"/>
            </w:pPr>
            <w:r>
              <w:rPr>
                <w:b w:val="false"/>
                <w:bCs w:val="false"/>
                <w:sz w:val="19"/>
                <w:szCs w:val="19"/>
              </w:rPr>
              <w:t xml:space="preserve">Existing maintenance already catches these faults</w:t>
            </w:r>
          </w:p>
        </w:tc>
        <w:tc>
          <w:tcPr>
            <w:tcW w:type="dxa" w:w="5940"/>
            <w:tcMar>
              <w:top w:type="dxa" w:w="70"/>
              <w:left w:type="dxa" w:w="110"/>
              <w:bottom w:type="dxa" w:w="70"/>
              <w:right w:type="dxa" w:w="110"/>
            </w:tcMar>
          </w:tcPr>
          <w:p>
            <w:pPr>
              <w:spacing w:after="20" w:before="20"/>
            </w:pPr>
            <w:r>
              <w:rPr>
                <w:b w:val="false"/>
                <w:bCs w:val="false"/>
                <w:sz w:val="19"/>
                <w:szCs w:val="19"/>
              </w:rPr>
              <w:t xml:space="preserve">If planned maintenance already intercepts most degradation, the avoided-downtime benefit shrinks sharply and the case rests on energy savings alone.</w:t>
            </w:r>
          </w:p>
        </w:tc>
      </w:tr>
      <w:tr>
        <w:trPr>
          <w:tblHeader w:val="false"/>
        </w:trPr>
        <w:tc>
          <w:tcPr>
            <w:tcW w:type="dxa" w:w="3060"/>
            <w:tcMar>
              <w:top w:type="dxa" w:w="70"/>
              <w:left w:type="dxa" w:w="110"/>
              <w:bottom w:type="dxa" w:w="70"/>
              <w:right w:type="dxa" w:w="110"/>
            </w:tcMar>
          </w:tcPr>
          <w:p>
            <w:pPr>
              <w:spacing w:after="20" w:before="20"/>
            </w:pPr>
            <w:r>
              <w:rPr>
                <w:b w:val="false"/>
                <w:bCs w:val="false"/>
                <w:sz w:val="19"/>
                <w:szCs w:val="19"/>
              </w:rPr>
              <w:t xml:space="preserve">A novel failure mechanism appears</w:t>
            </w:r>
          </w:p>
        </w:tc>
        <w:tc>
          <w:tcPr>
            <w:tcW w:type="dxa" w:w="5940"/>
            <w:tcMar>
              <w:top w:type="dxa" w:w="70"/>
              <w:left w:type="dxa" w:w="110"/>
              <w:bottom w:type="dxa" w:w="70"/>
              <w:right w:type="dxa" w:w="110"/>
            </w:tcMar>
          </w:tcPr>
          <w:p>
            <w:pPr>
              <w:spacing w:after="20" w:before="20"/>
            </w:pPr>
            <w:r>
              <w:rPr>
                <w:b w:val="false"/>
                <w:bCs w:val="false"/>
                <w:sz w:val="19"/>
                <w:szCs w:val="19"/>
              </w:rPr>
              <w:t xml:space="preserve">The model would under-detect it. Mitigated by the dual-model escalation rule in section A4, at a cost in precision.</w:t>
            </w:r>
          </w:p>
        </w:tc>
      </w:tr>
      <w:tr>
        <w:trPr>
          <w:tblHeader w:val="false"/>
        </w:trPr>
        <w:tc>
          <w:tcPr>
            <w:tcW w:type="dxa" w:w="3060"/>
            <w:tcMar>
              <w:top w:type="dxa" w:w="70"/>
              <w:left w:type="dxa" w:w="110"/>
              <w:bottom w:type="dxa" w:w="70"/>
              <w:right w:type="dxa" w:w="110"/>
            </w:tcMar>
          </w:tcPr>
          <w:p>
            <w:pPr>
              <w:spacing w:after="20" w:before="20"/>
            </w:pPr>
            <w:r>
              <w:rPr>
                <w:b w:val="false"/>
                <w:bCs w:val="false"/>
                <w:sz w:val="19"/>
                <w:szCs w:val="19"/>
              </w:rPr>
              <w:t xml:space="preserve">Operators stop trusting the alerts</w:t>
            </w:r>
          </w:p>
        </w:tc>
        <w:tc>
          <w:tcPr>
            <w:tcW w:type="dxa" w:w="5940"/>
            <w:tcMar>
              <w:top w:type="dxa" w:w="70"/>
              <w:left w:type="dxa" w:w="110"/>
              <w:bottom w:type="dxa" w:w="70"/>
              <w:right w:type="dxa" w:w="110"/>
            </w:tcMar>
          </w:tcPr>
          <w:p>
            <w:pPr>
              <w:spacing w:after="20" w:before="20"/>
            </w:pPr>
            <w:r>
              <w:rPr>
                <w:b w:val="false"/>
                <w:bCs w:val="false"/>
                <w:sz w:val="19"/>
                <w:szCs w:val="19"/>
              </w:rPr>
              <w:t xml:space="preserve">Suppression of load-driven alerts and sustained-risk escalation are both aimed at this. If the false alarm rate rises in production, adoption fails regardless of accuracy.</w:t>
            </w:r>
          </w:p>
        </w:tc>
      </w:tr>
      <w:tr>
        <w:trPr>
          <w:tblHeader w:val="false"/>
        </w:trPr>
        <w:tc>
          <w:tcPr>
            <w:tcW w:type="dxa" w:w="3060"/>
            <w:tcMar>
              <w:top w:type="dxa" w:w="70"/>
              <w:left w:type="dxa" w:w="110"/>
              <w:bottom w:type="dxa" w:w="70"/>
              <w:right w:type="dxa" w:w="110"/>
            </w:tcMar>
          </w:tcPr>
          <w:p>
            <w:pPr>
              <w:spacing w:after="20" w:before="20"/>
            </w:pPr>
            <w:r>
              <w:rPr>
                <w:b w:val="false"/>
                <w:bCs w:val="false"/>
                <w:sz w:val="19"/>
                <w:szCs w:val="19"/>
              </w:rPr>
              <w:t xml:space="preserve">Scope expands during deployment</w:t>
            </w:r>
          </w:p>
        </w:tc>
        <w:tc>
          <w:tcPr>
            <w:tcW w:type="dxa" w:w="5940"/>
            <w:tcMar>
              <w:top w:type="dxa" w:w="70"/>
              <w:left w:type="dxa" w:w="110"/>
              <w:bottom w:type="dxa" w:w="70"/>
              <w:right w:type="dxa" w:w="110"/>
            </w:tcMar>
          </w:tcPr>
          <w:p>
            <w:pPr>
              <w:spacing w:after="20" w:before="20"/>
            </w:pPr>
            <w:r>
              <w:rPr>
                <w:b w:val="false"/>
                <w:bCs w:val="false"/>
                <w:sz w:val="19"/>
                <w:szCs w:val="19"/>
              </w:rPr>
              <w:t xml:space="preserve">Phase boundaries are defined by the question each answers. A phase that grows beyond its question should be split rather than extended.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Ethics and Strategic Roadmap</dc:title>
  <dc:creator>Project 2 Team</dc:creator>
  <cp:lastModifiedBy>Un-named</cp:lastModifiedBy>
  <cp:revision>1</cp:revision>
  <dcterms:created xsi:type="dcterms:W3CDTF">2026-08-10T16:04:54.451Z</dcterms:created>
  <dcterms:modified xsi:type="dcterms:W3CDTF">2026-08-10T16:04:54.466Z</dcterms:modified>
</cp:coreProperties>
</file>

<file path=docProps/custom.xml><?xml version="1.0" encoding="utf-8"?>
<Properties xmlns="http://schemas.openxmlformats.org/officeDocument/2006/custom-properties" xmlns:vt="http://schemas.openxmlformats.org/officeDocument/2006/docPropsVTypes"/>
</file>