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pBdr>
          <w:left w:val="single" w:color="0D9488" w:sz="24" w:space="8"/>
        </w:pBdr>
        <w:spacing w:after="60" w:before="0"/>
        <w:jc w:val="left"/>
      </w:pPr>
      <w:r>
        <w:rPr>
          <w:rFonts w:ascii="Arial" w:cs="Arial" w:eastAsia="Arial" w:hAnsi="Arial"/>
          <w:b/>
          <w:bCs/>
          <w:color w:val="0D9488"/>
          <w:sz w:val="72"/>
          <w:szCs w:val="72"/>
        </w:rPr>
        <w:t xml:space="preserve">GROUNDLINK</w:t>
      </w:r>
    </w:p>
    <w:p>
      <w:pPr>
        <w:spacing w:after="200" w:before="0"/>
        <w:jc w:val="left"/>
      </w:pPr>
      <w:r>
        <w:rPr>
          <w:rFonts w:ascii="Arial" w:cs="Arial" w:eastAsia="Arial" w:hAnsi="Arial"/>
          <w:color w:val="334155"/>
          <w:sz w:val="40"/>
          <w:szCs w:val="40"/>
        </w:rPr>
        <w:t xml:space="preserve">Comms Coverage Planner</w:t>
      </w:r>
    </w:p>
    <w:p>
      <w:pPr>
        <w:pBdr>
          <w:bottom w:val="single" w:color="0D9488" w:sz="4" w:space="1"/>
        </w:pBdr>
        <w:spacing w:after="100" w:before="100"/>
      </w:pPr>
    </w:p>
    <w:p>
      <w:pPr>
        <w:spacing w:after="200" w:before="0"/>
      </w:pPr>
    </w:p>
    <w:p>
      <w:pPr>
        <w:spacing w:after="80" w:before="0"/>
        <w:jc w:val="left"/>
      </w:pPr>
      <w:r>
        <w:rPr>
          <w:rFonts w:ascii="Arial" w:cs="Arial" w:eastAsia="Arial" w:hAnsi="Arial"/>
          <w:b/>
          <w:bCs/>
          <w:color w:val="334155"/>
          <w:sz w:val="48"/>
          <w:szCs w:val="48"/>
        </w:rPr>
        <w:t xml:space="preserve">Product Roadmap</w:t>
      </w:r>
    </w:p>
    <w:p>
      <w:pPr>
        <w:spacing w:after="80" w:before="0"/>
        <w:jc w:val="left"/>
      </w:pPr>
      <w:r>
        <w:rPr>
          <w:rFonts w:ascii="Arial" w:cs="Arial" w:eastAsia="Arial" w:hAnsi="Arial"/>
          <w:color w:val="64748B"/>
          <w:sz w:val="32"/>
          <w:szCs w:val="32"/>
        </w:rPr>
        <w:t xml:space="preserve">Version 3.0</w:t>
      </w:r>
    </w:p>
    <w:p>
      <w:pPr>
        <w:spacing w:after="80" w:before="0"/>
        <w:jc w:val="left"/>
      </w:pPr>
      <w:r>
        <w:rPr>
          <w:rFonts w:ascii="Arial" w:cs="Arial" w:eastAsia="Arial" w:hAnsi="Arial"/>
          <w:color w:val="64748B"/>
          <w:sz w:val="32"/>
          <w:szCs w:val="32"/>
        </w:rPr>
        <w:t xml:space="preserve">June 2026</w:t>
      </w:r>
    </w:p>
    <w:p>
      <w:pPr>
        <w:spacing w:after="400" w:before="0"/>
      </w:pPr>
    </w:p>
    <w:p>
      <w:pPr>
        <w:pBdr>
          <w:bottom w:val="single" w:color="0D9488" w:sz="4" w:space="1"/>
        </w:pBdr>
        <w:spacing w:after="100" w:before="100"/>
      </w:pPr>
    </w:p>
    <w:p>
      <w:pPr>
        <w:spacing w:after="200" w:before="0"/>
      </w:pPr>
    </w:p>
    <w:p>
      <w:pPr>
        <w:spacing w:after="80" w:before="0"/>
      </w:pPr>
      <w:r>
        <w:rPr>
          <w:rFonts w:ascii="Arial" w:cs="Arial" w:eastAsia="Arial" w:hAnsi="Arial"/>
          <w:b/>
          <w:bCs/>
          <w:color w:val="64748B"/>
          <w:sz w:val="22"/>
          <w:szCs w:val="22"/>
        </w:rPr>
        <w:t xml:space="preserve">Classification: </w:t>
      </w:r>
      <w:r>
        <w:rPr>
          <w:rFonts w:ascii="Arial" w:cs="Arial" w:eastAsia="Arial" w:hAnsi="Arial"/>
          <w:color w:val="64748B"/>
          <w:sz w:val="22"/>
          <w:szCs w:val="22"/>
        </w:rPr>
        <w:t xml:space="preserve">Unclassified — Do Not Publish Site Coordinates</w:t>
      </w:r>
    </w:p>
    <w:p>
      <w:pPr>
        <w:spacing w:after="80" w:before="0"/>
      </w:pPr>
      <w:r>
        <w:rPr>
          <w:rFonts w:ascii="Arial" w:cs="Arial" w:eastAsia="Arial" w:hAnsi="Arial"/>
          <w:b/>
          <w:bCs/>
          <w:color w:val="64748B"/>
          <w:sz w:val="22"/>
          <w:szCs w:val="22"/>
        </w:rPr>
        <w:t xml:space="preserve">Audience: </w:t>
      </w:r>
      <w:r>
        <w:rPr>
          <w:rFonts w:ascii="Arial" w:cs="Arial" w:eastAsia="Arial" w:hAnsi="Arial"/>
          <w:color w:val="64748B"/>
          <w:sz w:val="22"/>
          <w:szCs w:val="22"/>
        </w:rPr>
        <w:t xml:space="preserve">GroundLink core team, operational partners</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00" w:before="280"/>
      </w:pPr>
      <w:r>
        <w:rPr>
          <w:rFonts w:ascii="Arial" w:cs="Arial" w:eastAsia="Arial" w:hAnsi="Arial"/>
        </w:rPr>
        <w:t xml:space="preserve">1. Vision &amp; Principles</w:t>
      </w:r>
    </w:p>
    <w:p>
      <w:pPr>
        <w:pBdr>
          <w:bottom w:val="single" w:color="0D9488" w:sz="4" w:space="1"/>
        </w:pBdr>
        <w:spacing w:after="100" w:before="100"/>
      </w:pPr>
    </w:p>
    <w:p>
      <w:pPr>
        <w:spacing w:after="80" w:before="0"/>
      </w:pPr>
    </w:p>
    <w:p>
      <w:pPr>
        <w:spacing w:after="100" w:before="60"/>
        <w:jc w:val="left"/>
      </w:pPr>
      <w:r>
        <w:rPr>
          <w:rFonts w:ascii="Arial" w:cs="Arial" w:eastAsia="Arial" w:hAnsi="Arial"/>
          <w:b/>
          <w:bCs/>
          <w:color w:val="334155"/>
          <w:sz w:val="22"/>
          <w:szCs w:val="22"/>
        </w:rPr>
        <w:t xml:space="preserve">GroundLink</w:t>
      </w:r>
      <w:r>
        <w:rPr>
          <w:rFonts w:ascii="Arial" w:cs="Arial" w:eastAsia="Arial" w:hAnsi="Arial"/>
          <w:color w:val="334155"/>
          <w:sz w:val="22"/>
          <w:szCs w:val="22"/>
        </w:rPr>
        <w:t xml:space="preserve"> is a terrain-aware communications coverage and planning tool for field operators, communications officers, and mission planners. It runs entirely in a web browser with no account, no server dependency, and no upload of sensitive coordinates.</w:t>
      </w:r>
    </w:p>
    <w:p>
      <w:pPr>
        <w:spacing w:after="100" w:before="60"/>
        <w:jc w:val="left"/>
      </w:pPr>
      <w:r>
        <w:rPr>
          <w:rFonts w:ascii="Arial" w:cs="Arial" w:eastAsia="Arial" w:hAnsi="Arial"/>
          <w:color w:val="334155"/>
          <w:sz w:val="22"/>
          <w:szCs w:val="22"/>
        </w:rPr>
        <w:t xml:space="preserve">The guiding principles below are non-negotiable constraints on every milestone. Each feature is evaluated against them before it ships.</w:t>
      </w:r>
    </w:p>
    <w:p>
      <w:pPr>
        <w:spacing w:after="60" w:before="0"/>
      </w:pPr>
    </w:p>
    <w:p>
      <w:pPr>
        <w:pStyle w:val="Heading2"/>
        <w:spacing w:after="100" w:before="280"/>
      </w:pPr>
      <w:r>
        <w:rPr>
          <w:rFonts w:ascii="Arial" w:cs="Arial" w:eastAsia="Arial" w:hAnsi="Arial"/>
        </w:rPr>
        <w:t xml:space="preserve">Operational, not academic</w:t>
      </w:r>
    </w:p>
    <w:p>
      <w:pPr>
        <w:spacing w:after="100" w:before="60"/>
        <w:jc w:val="left"/>
      </w:pPr>
      <w:r>
        <w:rPr>
          <w:rFonts w:ascii="Arial" w:cs="Arial" w:eastAsia="Arial" w:hAnsi="Arial"/>
          <w:color w:val="334155"/>
          <w:sz w:val="22"/>
          <w:szCs w:val="22"/>
        </w:rPr>
        <w:t xml:space="preserve">Outputs are actionable: PACE plans, coverage maps, link margin tables, and export packages. Theoretical accuracy is secondary to operational utility. The tool surfaces its model assumptions clearly rather than hiding them behind false precision.</w:t>
      </w:r>
    </w:p>
    <w:p>
      <w:pPr>
        <w:pStyle w:val="Heading2"/>
        <w:spacing w:after="100" w:before="280"/>
      </w:pPr>
      <w:r>
        <w:rPr>
          <w:rFonts w:ascii="Arial" w:cs="Arial" w:eastAsia="Arial" w:hAnsi="Arial"/>
        </w:rPr>
        <w:t xml:space="preserve">Map-first, no account needed</w:t>
      </w:r>
    </w:p>
    <w:p>
      <w:pPr>
        <w:spacing w:after="100" w:before="60"/>
        <w:jc w:val="left"/>
      </w:pPr>
      <w:r>
        <w:rPr>
          <w:rFonts w:ascii="Arial" w:cs="Arial" w:eastAsia="Arial" w:hAnsi="Arial"/>
          <w:color w:val="334155"/>
          <w:sz w:val="22"/>
          <w:szCs w:val="22"/>
        </w:rPr>
        <w:t xml:space="preserve">The map canvas is always the primary interface. Planning tools appear as overlays and side panels — not separate pages. No login, no cloud sync, no usage tracking. A field operator can open the URL on a tablet in an operations room and use it immediately.</w:t>
      </w:r>
    </w:p>
    <w:p>
      <w:pPr>
        <w:pStyle w:val="Heading2"/>
        <w:spacing w:after="100" w:before="280"/>
      </w:pPr>
      <w:r>
        <w:rPr>
          <w:rFonts w:ascii="Arial" w:cs="Arial" w:eastAsia="Arial" w:hAnsi="Arial"/>
        </w:rPr>
        <w:t xml:space="preserve">Simple by default, powerful when needed</w:t>
      </w:r>
    </w:p>
    <w:p>
      <w:pPr>
        <w:spacing w:after="100" w:before="60"/>
        <w:jc w:val="left"/>
      </w:pPr>
      <w:r>
        <w:rPr>
          <w:rFonts w:ascii="Arial" w:cs="Arial" w:eastAsia="Arial" w:hAnsi="Arial"/>
          <w:color w:val="334155"/>
          <w:sz w:val="22"/>
          <w:szCs w:val="22"/>
        </w:rPr>
        <w:t xml:space="preserve">User mode exposes a 5-click workflow sufficient for 80% of tasks. Advanced mode unlocks full propagation parameters, clutter models, and export options. The toggle is a first-class UI element, not buried in settings. Every new parameter added to Advanced mode is tested against: "does a field operator with 10 minutes of training understand this?"</w:t>
      </w:r>
    </w:p>
    <w:p>
      <w:pPr>
        <w:pStyle w:val="Heading2"/>
        <w:spacing w:after="100" w:before="280"/>
      </w:pPr>
      <w:r>
        <w:rPr>
          <w:rFonts w:ascii="Arial" w:cs="Arial" w:eastAsia="Arial" w:hAnsi="Arial"/>
        </w:rPr>
        <w:t xml:space="preserve">OPSEC: client-side only</w:t>
      </w:r>
    </w:p>
    <w:p>
      <w:pPr>
        <w:spacing w:after="100" w:before="60"/>
        <w:jc w:val="left"/>
      </w:pPr>
      <w:r>
        <w:rPr>
          <w:rFonts w:ascii="Arial" w:cs="Arial" w:eastAsia="Arial" w:hAnsi="Arial"/>
          <w:color w:val="334155"/>
          <w:sz w:val="22"/>
          <w:szCs w:val="22"/>
        </w:rPr>
        <w:t xml:space="preserve">Coordinate data never leaves the browser. The public build ships with an empty reference network; users import their own at runtime. Mapbox Terrain-RGB tile requests use only bounding-box coordinates, not site positions. No telemetry.</w:t>
      </w:r>
    </w:p>
    <w:p>
      <w:pPr>
        <w:pStyle w:val="Heading2"/>
        <w:spacing w:after="100" w:before="280"/>
      </w:pPr>
      <w:r>
        <w:rPr>
          <w:rFonts w:ascii="Arial" w:cs="Arial" w:eastAsia="Arial" w:hAnsi="Arial"/>
        </w:rPr>
        <w:t xml:space="preserve">Planning-grade, transparent model</w:t>
      </w:r>
    </w:p>
    <w:p>
      <w:pPr>
        <w:spacing w:after="100" w:before="60"/>
        <w:jc w:val="left"/>
      </w:pPr>
      <w:r>
        <w:rPr>
          <w:rFonts w:ascii="Arial" w:cs="Arial" w:eastAsia="Arial" w:hAnsi="Arial"/>
          <w:color w:val="334155"/>
          <w:sz w:val="22"/>
          <w:szCs w:val="22"/>
        </w:rPr>
        <w:t xml:space="preserve">The default propagation model (FSPL + Deygout knife-edge) is well-understood and fast. Its limitations — no clutter, no troposcatter, no ionospheric effects — are surfaced in the UI. Where accuracy matters more than speed, the optional backend (M18) enables ITM-grade modelling without breaking the default workflow.</w:t>
      </w:r>
    </w:p>
    <w:p>
      <w:r>
        <w:br w:type="page"/>
      </w:r>
    </w:p>
    <w:p>
      <w:pPr>
        <w:pStyle w:val="Heading1"/>
        <w:spacing w:after="100" w:before="280"/>
      </w:pPr>
      <w:r>
        <w:rPr>
          <w:rFonts w:ascii="Arial" w:cs="Arial" w:eastAsia="Arial" w:hAnsi="Arial"/>
        </w:rPr>
        <w:t xml:space="preserve">2. Current State — Milestones M1–M9</w:t>
      </w:r>
    </w:p>
    <w:p>
      <w:pPr>
        <w:pBdr>
          <w:bottom w:val="single" w:color="0D9488" w:sz="4" w:space="1"/>
        </w:pBdr>
        <w:spacing w:after="100" w:before="100"/>
      </w:pPr>
    </w:p>
    <w:p>
      <w:pPr>
        <w:spacing w:after="80" w:before="0"/>
      </w:pPr>
    </w:p>
    <w:p>
      <w:pPr>
        <w:spacing w:after="100" w:before="60"/>
        <w:jc w:val="left"/>
      </w:pPr>
      <w:r>
        <w:rPr>
          <w:rFonts w:ascii="Arial" w:cs="Arial" w:eastAsia="Arial" w:hAnsi="Arial"/>
          <w:color w:val="334155"/>
          <w:sz w:val="22"/>
          <w:szCs w:val="22"/>
        </w:rPr>
        <w:t xml:space="preserve">All nine foundation milestones are complete. The build is a single-page application deployed to GitHub Pages. The capabilities below are live and field-tested.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1440"/>
      </w:tblGrid>
      <w:tr>
        <w:trPr>
          <w:tblHeader/>
        </w:trPr>
        <w:tc>
          <w:tcPr>
            <w:tcW w:type="dxa" w:w="72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ID</w:t>
            </w:r>
          </w:p>
        </w:tc>
        <w:tc>
          <w:tcPr>
            <w:tcW w:type="dxa" w:w="216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Milestone</w:t>
            </w:r>
          </w:p>
        </w:tc>
        <w:tc>
          <w:tcPr>
            <w:tcW w:type="dxa" w:w="504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Capabilities</w:t>
            </w:r>
          </w:p>
        </w:tc>
        <w:tc>
          <w:tcPr>
            <w:tcW w:type="dxa" w:w="144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M1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Shell &amp; Map</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MapLibre GL JS layout, basemaps, light/dark, AOI draw, mobile slide-over.</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Complete</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M2</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334155"/>
                <w:sz w:val="20"/>
                <w:szCs w:val="20"/>
              </w:rPr>
              <w:t xml:space="preserve">Terrain &amp; Coverage</w:t>
            </w:r>
          </w:p>
        </w:tc>
        <w:tc>
          <w:tcPr>
            <w:tcW w:type="dxa" w:w="50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FSPL + Deygout knife-edge propagation over Terrain-RGB DEM; coverage raster.</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Complete</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M2.1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Drone/Airborne Relay</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Drone/UAS as elevated repeater; terrain LOS + link budget by altitude band.</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Complete</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M3</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334155"/>
                <w:sz w:val="20"/>
                <w:szCs w:val="20"/>
              </w:rPr>
              <w:t xml:space="preserve">Site Recommendation</w:t>
            </w:r>
          </w:p>
        </w:tc>
        <w:tc>
          <w:tcPr>
            <w:tcW w:type="dxa" w:w="50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DEM local-maxima candidates; greedy set-cover over demand points; draggable sites.</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Complete</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M4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Mission Input Modes</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Area / fixed sites / route / points; MGRS, UTM, lat-long coordinate entry.</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Complete</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M5</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334155"/>
                <w:sz w:val="20"/>
                <w:szCs w:val="20"/>
              </w:rPr>
              <w:t xml:space="preserve">Radio Import &amp; Mix</w:t>
            </w:r>
          </w:p>
        </w:tc>
        <w:tc>
          <w:tcPr>
            <w:tcW w:type="dxa" w:w="50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Search/import radios; pull specs from FCC OET; spider-chart comparison.</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Complete</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M6</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PACE &amp; Comms Plan</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Generate PACE plan and comms-structure summary; exportable report.</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Complete</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M7</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334155"/>
                <w:sz w:val="20"/>
                <w:szCs w:val="20"/>
              </w:rPr>
              <w:t xml:space="preserve">KML/GeoJSON Export</w:t>
            </w:r>
          </w:p>
        </w:tc>
        <w:tc>
          <w:tcPr>
            <w:tcW w:type="dxa" w:w="50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KML + GeoJSON export; Google Earth + ATAK round-trip interop.</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Complete</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M8</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Power &amp; Battery Planning</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Power budget per site; solar/battery sizing; runtime estimates.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Complete</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M9</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334155"/>
                <w:sz w:val="20"/>
                <w:szCs w:val="20"/>
              </w:rPr>
              <w:t xml:space="preserve">Cellular Coverage (OSM)</w:t>
            </w:r>
          </w:p>
        </w:tc>
        <w:tc>
          <w:tcPr>
            <w:tcW w:type="dxa" w:w="50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Overpass API query for cell towers; overlay on map; signal fallback modelling.</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Complete</w:t>
            </w:r>
          </w:p>
        </w:tc>
      </w:tr>
    </w:tbl>
    <w:p>
      <w:pPr>
        <w:spacing w:after="80" w:before="0"/>
      </w:pPr>
    </w:p>
    <w:p>
      <w:pPr>
        <w:spacing w:after="100" w:before="60"/>
        <w:jc w:val="left"/>
      </w:pPr>
      <w:r>
        <w:rPr>
          <w:rFonts w:ascii="Arial" w:cs="Arial" w:eastAsia="Arial" w:hAnsi="Arial"/>
          <w:color w:val="64748B"/>
          <w:sz w:val="20"/>
          <w:szCs w:val="20"/>
        </w:rPr>
        <w:t xml:space="preserve">* Drone relay (M2.1) is treated as a branch of M2 — it reuses the terrain engine and propagation model, adding airborne-relay geometry and link-budget output.</w:t>
      </w:r>
    </w:p>
    <w:p>
      <w:r>
        <w:br w:type="page"/>
      </w:r>
    </w:p>
    <w:p>
      <w:pPr>
        <w:pStyle w:val="Heading1"/>
        <w:spacing w:after="100" w:before="280"/>
      </w:pPr>
      <w:r>
        <w:rPr>
          <w:rFonts w:ascii="Arial" w:cs="Arial" w:eastAsia="Arial" w:hAnsi="Arial"/>
        </w:rPr>
        <w:t xml:space="preserve">3. Next Milestones — M10 to M18</w:t>
      </w:r>
    </w:p>
    <w:p>
      <w:pPr>
        <w:pBdr>
          <w:bottom w:val="single" w:color="0D9488" w:sz="4" w:space="1"/>
        </w:pBdr>
        <w:spacing w:after="100" w:before="100"/>
      </w:pPr>
    </w:p>
    <w:p>
      <w:pPr>
        <w:spacing w:after="80" w:before="0"/>
      </w:pPr>
    </w:p>
    <w:p>
      <w:pPr>
        <w:spacing w:after="100" w:before="60"/>
        <w:jc w:val="left"/>
      </w:pPr>
      <w:r>
        <w:rPr>
          <w:rFonts w:ascii="Arial" w:cs="Arial" w:eastAsia="Arial" w:hAnsi="Arial"/>
          <w:color w:val="334155"/>
          <w:sz w:val="22"/>
          <w:szCs w:val="22"/>
        </w:rPr>
        <w:t xml:space="preserve">The milestones below represent the next development phase. They are sequenced by dependency and operational value, not arbitrary priority. High-priority milestones should be tackled first within each sprint cycle.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00"/>
              <w:left w:type="dxa" w:w="160"/>
              <w:bottom w:type="dxa" w:w="100"/>
              <w:right w:type="dxa" w:w="160"/>
            </w:tcMar>
          </w:tcPr>
          <w:p>
            <w:r>
              <w:rPr>
                <w:rFonts w:ascii="Arial" w:cs="Arial" w:eastAsia="Arial" w:hAnsi="Arial"/>
                <w:b/>
                <w:bCs/>
                <w:color w:val="CCFBF1"/>
                <w:sz w:val="26"/>
                <w:szCs w:val="26"/>
              </w:rPr>
              <w:t xml:space="preserve">M10  </w:t>
            </w:r>
            <w:r>
              <w:rPr>
                <w:rFonts w:ascii="Arial" w:cs="Arial" w:eastAsia="Arial" w:hAnsi="Arial"/>
                <w:b/>
                <w:bCs/>
                <w:color w:val="FFFFFF"/>
                <w:sz w:val="26"/>
                <w:szCs w:val="26"/>
              </w:rPr>
              <w:t xml:space="preserve">User / Advanced Mode Toggle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Goal</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Reduce cognitive load for field operators while preserving full parameter access for planners.</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Key Features</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pStyle w:val="ListParagraph"/>
              <w:numPr>
                <w:ilvl w:val="0"/>
                <w:numId w:val="2"/>
              </w:numPr>
              <w:spacing w:after="40" w:before="30"/>
            </w:pPr>
            <w:r>
              <w:rPr>
                <w:rFonts w:ascii="Arial" w:cs="Arial" w:eastAsia="Arial" w:hAnsi="Arial"/>
                <w:color w:val="334155"/>
                <w:sz w:val="20"/>
                <w:szCs w:val="20"/>
              </w:rPr>
              <w:t xml:space="preserve">Global User/Advanced toggle in the header (persists in-session)</w:t>
            </w:r>
          </w:p>
          <w:p>
            <w:pPr>
              <w:pStyle w:val="ListParagraph"/>
              <w:numPr>
                <w:ilvl w:val="0"/>
                <w:numId w:val="2"/>
              </w:numPr>
              <w:spacing w:after="40" w:before="30"/>
            </w:pPr>
            <w:r>
              <w:rPr>
                <w:rFonts w:ascii="Arial" w:cs="Arial" w:eastAsia="Arial" w:hAnsi="Arial"/>
                <w:color w:val="334155"/>
                <w:sz w:val="20"/>
                <w:szCs w:val="20"/>
              </w:rPr>
              <w:t xml:space="preserve">User mode: 5-click workflow — place AOI, pick radio, run coverage, view PACE, export</w:t>
            </w:r>
          </w:p>
          <w:p>
            <w:pPr>
              <w:pStyle w:val="ListParagraph"/>
              <w:numPr>
                <w:ilvl w:val="0"/>
                <w:numId w:val="2"/>
              </w:numPr>
              <w:spacing w:after="40" w:before="30"/>
            </w:pPr>
            <w:r>
              <w:rPr>
                <w:rFonts w:ascii="Arial" w:cs="Arial" w:eastAsia="Arial" w:hAnsi="Arial"/>
                <w:color w:val="334155"/>
                <w:sz w:val="20"/>
                <w:szCs w:val="20"/>
              </w:rPr>
              <w:t xml:space="preserve">Advanced mode: full parameter panels (antenna height, EIRP, clutter model, link margin thresholds)</w:t>
            </w:r>
          </w:p>
          <w:p>
            <w:pPr>
              <w:pStyle w:val="ListParagraph"/>
              <w:numPr>
                <w:ilvl w:val="0"/>
                <w:numId w:val="2"/>
              </w:numPr>
              <w:spacing w:after="40" w:before="30"/>
            </w:pPr>
            <w:r>
              <w:rPr>
                <w:rFonts w:ascii="Arial" w:cs="Arial" w:eastAsia="Arial" w:hAnsi="Arial"/>
                <w:color w:val="334155"/>
                <w:sz w:val="20"/>
                <w:szCs w:val="20"/>
              </w:rPr>
              <w:t xml:space="preserve">Per-section collapse/expand for advanced controls within Advanced mode</w:t>
            </w:r>
          </w:p>
          <w:p>
            <w:pPr>
              <w:pStyle w:val="ListParagraph"/>
              <w:numPr>
                <w:ilvl w:val="0"/>
                <w:numId w:val="2"/>
              </w:numPr>
              <w:spacing w:after="40" w:before="30"/>
            </w:pPr>
            <w:r>
              <w:rPr>
                <w:rFonts w:ascii="Arial" w:cs="Arial" w:eastAsia="Arial" w:hAnsi="Arial"/>
                <w:color w:val="334155"/>
                <w:sz w:val="20"/>
                <w:szCs w:val="20"/>
              </w:rPr>
              <w:t xml:space="preserve">Tooltip explanations for every parameter in User mode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Technical
Approach</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Single CSS class on &lt;body&gt; toggling visibility of .advanced-only elements. No logic duplication — all controls exist in DOM, hidden in User mode. Preferences stored in-memory (no localStorage).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UX Impact</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Dramatically lowers barrier to entry. A SAR volunteer can produce a usable coverage map in under 2 minutes without reading docs.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Priority / Effort</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Priority: </w:t>
            </w:r>
            <w:r>
              <w:rPr>
                <w:rFonts w:ascii="Arial" w:cs="Arial" w:eastAsia="Arial" w:hAnsi="Arial"/>
                <w:b/>
                <w:bCs/>
                <w:color w:val="DC2626"/>
                <w:sz w:val="20"/>
                <w:szCs w:val="20"/>
              </w:rPr>
              <w:t xml:space="preserve">High</w:t>
            </w:r>
            <w:r>
              <w:rPr>
                <w:rFonts w:ascii="Arial" w:cs="Arial" w:eastAsia="Arial" w:hAnsi="Arial"/>
                <w:b/>
                <w:bCs/>
                <w:color w:val="334155"/>
                <w:sz w:val="20"/>
                <w:szCs w:val="20"/>
              </w:rPr>
              <w:t xml:space="preserve">     Estimated effort: </w:t>
            </w:r>
            <w:r>
              <w:rPr>
                <w:rFonts w:ascii="Arial" w:cs="Arial" w:eastAsia="Arial" w:hAnsi="Arial"/>
                <w:color w:val="334155"/>
                <w:sz w:val="20"/>
                <w:szCs w:val="20"/>
              </w:rPr>
              <w:t xml:space="preserve">4–6 days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00"/>
              <w:left w:type="dxa" w:w="160"/>
              <w:bottom w:type="dxa" w:w="100"/>
              <w:right w:type="dxa" w:w="160"/>
            </w:tcMar>
          </w:tcPr>
          <w:p>
            <w:r>
              <w:rPr>
                <w:rFonts w:ascii="Arial" w:cs="Arial" w:eastAsia="Arial" w:hAnsi="Arial"/>
                <w:b/>
                <w:bCs/>
                <w:color w:val="CCFBF1"/>
                <w:sz w:val="26"/>
                <w:szCs w:val="26"/>
              </w:rPr>
              <w:t xml:space="preserve">M11  </w:t>
            </w:r>
            <w:r>
              <w:rPr>
                <w:rFonts w:ascii="Arial" w:cs="Arial" w:eastAsia="Arial" w:hAnsi="Arial"/>
                <w:b/>
                <w:bCs/>
                <w:color w:val="FFFFFF"/>
                <w:sz w:val="26"/>
                <w:szCs w:val="26"/>
              </w:rPr>
              <w:t xml:space="preserve">Named Locations &amp; Waypoints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Goal</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Let operators mark, label, and share key locations with full coordinate and elevation context.</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Key Features</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pStyle w:val="ListParagraph"/>
              <w:numPr>
                <w:ilvl w:val="0"/>
                <w:numId w:val="2"/>
              </w:numPr>
              <w:spacing w:after="40" w:before="30"/>
            </w:pPr>
            <w:r>
              <w:rPr>
                <w:rFonts w:ascii="Arial" w:cs="Arial" w:eastAsia="Arial" w:hAnsi="Arial"/>
                <w:color w:val="334155"/>
                <w:sz w:val="20"/>
                <w:szCs w:val="20"/>
              </w:rPr>
              <w:t xml:space="preserve">Click-to-place named waypoints with custom icons (CP, HQ, RV, Relay, Repeater, generic)</w:t>
            </w:r>
          </w:p>
          <w:p>
            <w:pPr>
              <w:pStyle w:val="ListParagraph"/>
              <w:numPr>
                <w:ilvl w:val="0"/>
                <w:numId w:val="2"/>
              </w:numPr>
              <w:spacing w:after="40" w:before="30"/>
            </w:pPr>
            <w:r>
              <w:rPr>
                <w:rFonts w:ascii="Arial" w:cs="Arial" w:eastAsia="Arial" w:hAnsi="Arial"/>
                <w:color w:val="334155"/>
                <w:sz w:val="20"/>
                <w:szCs w:val="20"/>
              </w:rPr>
              <w:t xml:space="preserve">Popup card: name, elevation (queried from Terrain-RGB), lat/long, MGRS, custom notes</w:t>
            </w:r>
          </w:p>
          <w:p>
            <w:pPr>
              <w:pStyle w:val="ListParagraph"/>
              <w:numPr>
                <w:ilvl w:val="0"/>
                <w:numId w:val="2"/>
              </w:numPr>
              <w:spacing w:after="40" w:before="30"/>
            </w:pPr>
            <w:r>
              <w:rPr>
                <w:rFonts w:ascii="Arial" w:cs="Arial" w:eastAsia="Arial" w:hAnsi="Arial"/>
                <w:color w:val="334155"/>
                <w:sz w:val="20"/>
                <w:szCs w:val="20"/>
              </w:rPr>
              <w:t xml:space="preserve">Editable name and icon inline in the popup</w:t>
            </w:r>
          </w:p>
          <w:p>
            <w:pPr>
              <w:pStyle w:val="ListParagraph"/>
              <w:numPr>
                <w:ilvl w:val="0"/>
                <w:numId w:val="2"/>
              </w:numPr>
              <w:spacing w:after="40" w:before="30"/>
            </w:pPr>
            <w:r>
              <w:rPr>
                <w:rFonts w:ascii="Arial" w:cs="Arial" w:eastAsia="Arial" w:hAnsi="Arial"/>
                <w:color w:val="334155"/>
                <w:sz w:val="20"/>
                <w:szCs w:val="20"/>
              </w:rPr>
              <w:t xml:space="preserve">Waypoints appear in the layers panel; toggle visibility per type</w:t>
            </w:r>
          </w:p>
          <w:p>
            <w:pPr>
              <w:pStyle w:val="ListParagraph"/>
              <w:numPr>
                <w:ilvl w:val="0"/>
                <w:numId w:val="2"/>
              </w:numPr>
              <w:spacing w:after="40" w:before="30"/>
            </w:pPr>
            <w:r>
              <w:rPr>
                <w:rFonts w:ascii="Arial" w:cs="Arial" w:eastAsia="Arial" w:hAnsi="Arial"/>
                <w:color w:val="334155"/>
                <w:sz w:val="20"/>
                <w:szCs w:val="20"/>
              </w:rPr>
              <w:t xml:space="preserve">Export waypoints with KML/GeoJSON; import from KML placemarks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Technical
Approach</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MapLibre symbol layer for icons. Elevation sampled from the existing Terrain-RGB pipeline. MGRS conversion via existing coordinate utility.</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UX Impact</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Enables briefing-grade map products. Teams can define RVs, CPs, and relay positions before going offline.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Priority / Effort</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Priority: </w:t>
            </w:r>
            <w:r>
              <w:rPr>
                <w:rFonts w:ascii="Arial" w:cs="Arial" w:eastAsia="Arial" w:hAnsi="Arial"/>
                <w:b/>
                <w:bCs/>
                <w:color w:val="DC2626"/>
                <w:sz w:val="20"/>
                <w:szCs w:val="20"/>
              </w:rPr>
              <w:t xml:space="preserve">High</w:t>
            </w:r>
            <w:r>
              <w:rPr>
                <w:rFonts w:ascii="Arial" w:cs="Arial" w:eastAsia="Arial" w:hAnsi="Arial"/>
                <w:b/>
                <w:bCs/>
                <w:color w:val="334155"/>
                <w:sz w:val="20"/>
                <w:szCs w:val="20"/>
              </w:rPr>
              <w:t xml:space="preserve">     Estimated effort: </w:t>
            </w:r>
            <w:r>
              <w:rPr>
                <w:rFonts w:ascii="Arial" w:cs="Arial" w:eastAsia="Arial" w:hAnsi="Arial"/>
                <w:color w:val="334155"/>
                <w:sz w:val="20"/>
                <w:szCs w:val="20"/>
              </w:rPr>
              <w:t xml:space="preserve">3–4 days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00"/>
              <w:left w:type="dxa" w:w="160"/>
              <w:bottom w:type="dxa" w:w="100"/>
              <w:right w:type="dxa" w:w="160"/>
            </w:tcMar>
          </w:tcPr>
          <w:p>
            <w:r>
              <w:rPr>
                <w:rFonts w:ascii="Arial" w:cs="Arial" w:eastAsia="Arial" w:hAnsi="Arial"/>
                <w:b/>
                <w:bCs/>
                <w:color w:val="CCFBF1"/>
                <w:sz w:val="26"/>
                <w:szCs w:val="26"/>
              </w:rPr>
              <w:t xml:space="preserve">M12  </w:t>
            </w:r>
            <w:r>
              <w:rPr>
                <w:rFonts w:ascii="Arial" w:cs="Arial" w:eastAsia="Arial" w:hAnsi="Arial"/>
                <w:b/>
                <w:bCs/>
                <w:color w:val="FFFFFF"/>
                <w:sz w:val="26"/>
                <w:szCs w:val="26"/>
              </w:rPr>
              <w:t xml:space="preserve">HF Ionosphere Planning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Goal</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Provide MUF/LUF estimates for HF planning based on date, time, season, and solar activity.</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Key Features</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pStyle w:val="ListParagraph"/>
              <w:numPr>
                <w:ilvl w:val="0"/>
                <w:numId w:val="2"/>
              </w:numPr>
              <w:spacing w:after="40" w:before="30"/>
            </w:pPr>
            <w:r>
              <w:rPr>
                <w:rFonts w:ascii="Arial" w:cs="Arial" w:eastAsia="Arial" w:hAnsi="Arial"/>
                <w:color w:val="334155"/>
                <w:sz w:val="20"/>
                <w:szCs w:val="20"/>
              </w:rPr>
              <w:t xml:space="preserve">Date/time picker in the HF planning panel (reuses existing time controls)</w:t>
            </w:r>
          </w:p>
          <w:p>
            <w:pPr>
              <w:pStyle w:val="ListParagraph"/>
              <w:numPr>
                <w:ilvl w:val="0"/>
                <w:numId w:val="2"/>
              </w:numPr>
              <w:spacing w:after="40" w:before="30"/>
            </w:pPr>
            <w:r>
              <w:rPr>
                <w:rFonts w:ascii="Arial" w:cs="Arial" w:eastAsia="Arial" w:hAnsi="Arial"/>
                <w:color w:val="334155"/>
                <w:sz w:val="20"/>
                <w:szCs w:val="20"/>
              </w:rPr>
              <w:t xml:space="preserve">MUF and LUF estimates via VOACAP-lite or ITU-R P.533 simplified coefficients</w:t>
            </w:r>
          </w:p>
          <w:p>
            <w:pPr>
              <w:pStyle w:val="ListParagraph"/>
              <w:numPr>
                <w:ilvl w:val="0"/>
                <w:numId w:val="2"/>
              </w:numPr>
              <w:spacing w:after="40" w:before="30"/>
            </w:pPr>
            <w:r>
              <w:rPr>
                <w:rFonts w:ascii="Arial" w:cs="Arial" w:eastAsia="Arial" w:hAnsi="Arial"/>
                <w:color w:val="334155"/>
                <w:sz w:val="20"/>
                <w:szCs w:val="20"/>
              </w:rPr>
              <w:t xml:space="preserve">Recommended HF bands per path with confidence rating (Low/Med/High)</w:t>
            </w:r>
          </w:p>
          <w:p>
            <w:pPr>
              <w:pStyle w:val="ListParagraph"/>
              <w:numPr>
                <w:ilvl w:val="0"/>
                <w:numId w:val="2"/>
              </w:numPr>
              <w:spacing w:after="40" w:before="30"/>
            </w:pPr>
            <w:r>
              <w:rPr>
                <w:rFonts w:ascii="Arial" w:cs="Arial" w:eastAsia="Arial" w:hAnsi="Arial"/>
                <w:color w:val="334155"/>
                <w:sz w:val="20"/>
                <w:szCs w:val="20"/>
              </w:rPr>
              <w:t xml:space="preserve">Day/night terminator overlay on the map</w:t>
            </w:r>
          </w:p>
          <w:p>
            <w:pPr>
              <w:pStyle w:val="ListParagraph"/>
              <w:numPr>
                <w:ilvl w:val="0"/>
                <w:numId w:val="2"/>
              </w:numPr>
              <w:spacing w:after="40" w:before="30"/>
            </w:pPr>
            <w:r>
              <w:rPr>
                <w:rFonts w:ascii="Arial" w:cs="Arial" w:eastAsia="Arial" w:hAnsi="Arial"/>
                <w:color w:val="334155"/>
                <w:sz w:val="20"/>
                <w:szCs w:val="20"/>
              </w:rPr>
              <w:t xml:space="preserve">Grey-line indicator for peak propagation windows</w:t>
            </w:r>
          </w:p>
          <w:p>
            <w:pPr>
              <w:pStyle w:val="ListParagraph"/>
              <w:numPr>
                <w:ilvl w:val="0"/>
                <w:numId w:val="2"/>
              </w:numPr>
              <w:spacing w:after="40" w:before="30"/>
            </w:pPr>
            <w:r>
              <w:rPr>
                <w:rFonts w:ascii="Arial" w:cs="Arial" w:eastAsia="Arial" w:hAnsi="Arial"/>
                <w:color w:val="334155"/>
                <w:sz w:val="20"/>
                <w:szCs w:val="20"/>
              </w:rPr>
              <w:t xml:space="preserve">Export HF schedule to PACE plan (M6 integration)</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Technical
Approach</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Client-side VOACAP coefficient tables for simplified F2-layer MUF calculation. No server required. Accuracy caveat surfaced in UI. Solar flux index (SFI) input field for refinement.</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UX Impact</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Fills a significant gap for expeditions and humanitarian operations with HF dependencies. Linked directly to PACE plan generation.</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Priority / Effort</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Priority: </w:t>
            </w:r>
            <w:r>
              <w:rPr>
                <w:rFonts w:ascii="Arial" w:cs="Arial" w:eastAsia="Arial" w:hAnsi="Arial"/>
                <w:b/>
                <w:bCs/>
                <w:color w:val="D97706"/>
                <w:sz w:val="20"/>
                <w:szCs w:val="20"/>
              </w:rPr>
              <w:t xml:space="preserve">Medium</w:t>
            </w:r>
            <w:r>
              <w:rPr>
                <w:rFonts w:ascii="Arial" w:cs="Arial" w:eastAsia="Arial" w:hAnsi="Arial"/>
                <w:b/>
                <w:bCs/>
                <w:color w:val="334155"/>
                <w:sz w:val="20"/>
                <w:szCs w:val="20"/>
              </w:rPr>
              <w:t xml:space="preserve">     Estimated effort: </w:t>
            </w:r>
            <w:r>
              <w:rPr>
                <w:rFonts w:ascii="Arial" w:cs="Arial" w:eastAsia="Arial" w:hAnsi="Arial"/>
                <w:color w:val="334155"/>
                <w:sz w:val="20"/>
                <w:szCs w:val="20"/>
              </w:rPr>
              <w:t xml:space="preserve">5–7 days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00"/>
              <w:left w:type="dxa" w:w="160"/>
              <w:bottom w:type="dxa" w:w="100"/>
              <w:right w:type="dxa" w:w="160"/>
            </w:tcMar>
          </w:tcPr>
          <w:p>
            <w:r>
              <w:rPr>
                <w:rFonts w:ascii="Arial" w:cs="Arial" w:eastAsia="Arial" w:hAnsi="Arial"/>
                <w:b/>
                <w:bCs/>
                <w:color w:val="CCFBF1"/>
                <w:sz w:val="26"/>
                <w:szCs w:val="26"/>
              </w:rPr>
              <w:t xml:space="preserve">M13  </w:t>
            </w:r>
            <w:r>
              <w:rPr>
                <w:rFonts w:ascii="Arial" w:cs="Arial" w:eastAsia="Arial" w:hAnsi="Arial"/>
                <w:b/>
                <w:bCs/>
                <w:color w:val="FFFFFF"/>
                <w:sz w:val="26"/>
                <w:szCs w:val="26"/>
              </w:rPr>
              <w:t xml:space="preserve">Per-Operator / Team Planning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Goal</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Model communications coverage and link margin at the team and platform level, not just site level.</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Key Features</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pStyle w:val="ListParagraph"/>
              <w:numPr>
                <w:ilvl w:val="0"/>
                <w:numId w:val="2"/>
              </w:numPr>
              <w:spacing w:after="40" w:before="30"/>
            </w:pPr>
            <w:r>
              <w:rPr>
                <w:rFonts w:ascii="Arial" w:cs="Arial" w:eastAsia="Arial" w:hAnsi="Arial"/>
                <w:color w:val="334155"/>
                <w:sz w:val="20"/>
                <w:szCs w:val="20"/>
              </w:rPr>
              <w:t xml:space="preserve">Team builder: define teams with assigned radio(s), antenna, power system, and operator position</w:t>
            </w:r>
          </w:p>
          <w:p>
            <w:pPr>
              <w:pStyle w:val="ListParagraph"/>
              <w:numPr>
                <w:ilvl w:val="0"/>
                <w:numId w:val="2"/>
              </w:numPr>
              <w:spacing w:after="40" w:before="30"/>
            </w:pPr>
            <w:r>
              <w:rPr>
                <w:rFonts w:ascii="Arial" w:cs="Arial" w:eastAsia="Arial" w:hAnsi="Arial"/>
                <w:color w:val="334155"/>
                <w:sz w:val="20"/>
                <w:szCs w:val="20"/>
              </w:rPr>
              <w:t xml:space="preserve">Per-team coverage footprint computed and rendered as a separate layer</w:t>
            </w:r>
          </w:p>
          <w:p>
            <w:pPr>
              <w:pStyle w:val="ListParagraph"/>
              <w:numPr>
                <w:ilvl w:val="0"/>
                <w:numId w:val="2"/>
              </w:numPr>
              <w:spacing w:after="40" w:before="30"/>
            </w:pPr>
            <w:r>
              <w:rPr>
                <w:rFonts w:ascii="Arial" w:cs="Arial" w:eastAsia="Arial" w:hAnsi="Arial"/>
                <w:color w:val="334155"/>
                <w:sz w:val="20"/>
                <w:szCs w:val="20"/>
              </w:rPr>
              <w:t xml:space="preserve">Link margin table: each team-to-site and team-to-team path with margin (dB) and status (Pass/Marginal/Fail)</w:t>
            </w:r>
          </w:p>
          <w:p>
            <w:pPr>
              <w:pStyle w:val="ListParagraph"/>
              <w:numPr>
                <w:ilvl w:val="0"/>
                <w:numId w:val="2"/>
              </w:numPr>
              <w:spacing w:after="40" w:before="30"/>
            </w:pPr>
            <w:r>
              <w:rPr>
                <w:rFonts w:ascii="Arial" w:cs="Arial" w:eastAsia="Arial" w:hAnsi="Arial"/>
                <w:color w:val="334155"/>
                <w:sz w:val="20"/>
                <w:szCs w:val="20"/>
              </w:rPr>
              <w:t xml:space="preserve">Tabular team overview: name, radio, band, EIRP, coverage area, links in/out</w:t>
            </w:r>
          </w:p>
          <w:p>
            <w:pPr>
              <w:pStyle w:val="ListParagraph"/>
              <w:numPr>
                <w:ilvl w:val="0"/>
                <w:numId w:val="2"/>
              </w:numPr>
              <w:spacing w:after="40" w:before="30"/>
            </w:pPr>
            <w:r>
              <w:rPr>
                <w:rFonts w:ascii="Arial" w:cs="Arial" w:eastAsia="Arial" w:hAnsi="Arial"/>
                <w:color w:val="334155"/>
                <w:sz w:val="20"/>
                <w:szCs w:val="20"/>
              </w:rPr>
              <w:t xml:space="preserve">Integration with M5 (radio library) and M8 (power planning)</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Technical
Approach</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Teams stored as typed features in the mission state. Coverage computed by re-running the existing propagation engine per team position. Link margin calculated from FSPL + antenna gain + receiver sensitivity.</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UX Impact</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Allows a comms officer to validate that every team has at least one working comms path before deployment — the core planning use case.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Priority / Effort</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Priority: </w:t>
            </w:r>
            <w:r>
              <w:rPr>
                <w:rFonts w:ascii="Arial" w:cs="Arial" w:eastAsia="Arial" w:hAnsi="Arial"/>
                <w:b/>
                <w:bCs/>
                <w:color w:val="DC2626"/>
                <w:sz w:val="20"/>
                <w:szCs w:val="20"/>
              </w:rPr>
              <w:t xml:space="preserve">High</w:t>
            </w:r>
            <w:r>
              <w:rPr>
                <w:rFonts w:ascii="Arial" w:cs="Arial" w:eastAsia="Arial" w:hAnsi="Arial"/>
                <w:b/>
                <w:bCs/>
                <w:color w:val="334155"/>
                <w:sz w:val="20"/>
                <w:szCs w:val="20"/>
              </w:rPr>
              <w:t xml:space="preserve">     Estimated effort: </w:t>
            </w:r>
            <w:r>
              <w:rPr>
                <w:rFonts w:ascii="Arial" w:cs="Arial" w:eastAsia="Arial" w:hAnsi="Arial"/>
                <w:color w:val="334155"/>
                <w:sz w:val="20"/>
                <w:szCs w:val="20"/>
              </w:rPr>
              <w:t xml:space="preserve">6–8 days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00"/>
              <w:left w:type="dxa" w:w="160"/>
              <w:bottom w:type="dxa" w:w="100"/>
              <w:right w:type="dxa" w:w="160"/>
            </w:tcMar>
          </w:tcPr>
          <w:p>
            <w:r>
              <w:rPr>
                <w:rFonts w:ascii="Arial" w:cs="Arial" w:eastAsia="Arial" w:hAnsi="Arial"/>
                <w:b/>
                <w:bCs/>
                <w:color w:val="CCFBF1"/>
                <w:sz w:val="26"/>
                <w:szCs w:val="26"/>
              </w:rPr>
              <w:t xml:space="preserve">M14  </w:t>
            </w:r>
            <w:r>
              <w:rPr>
                <w:rFonts w:ascii="Arial" w:cs="Arial" w:eastAsia="Arial" w:hAnsi="Arial"/>
                <w:b/>
                <w:bCs/>
                <w:color w:val="FFFFFF"/>
                <w:sz w:val="26"/>
                <w:szCs w:val="26"/>
              </w:rPr>
              <w:t xml:space="preserve">Path Profile &amp; Fresnel Zone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Goal</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Display a terrain cross-section between two points with Fresnel zone clearance visualisation.</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Key Features</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pStyle w:val="ListParagraph"/>
              <w:numPr>
                <w:ilvl w:val="0"/>
                <w:numId w:val="2"/>
              </w:numPr>
              <w:spacing w:after="40" w:before="30"/>
            </w:pPr>
            <w:r>
              <w:rPr>
                <w:rFonts w:ascii="Arial" w:cs="Arial" w:eastAsia="Arial" w:hAnsi="Arial"/>
                <w:color w:val="334155"/>
                <w:sz w:val="20"/>
                <w:szCs w:val="20"/>
              </w:rPr>
              <w:t xml:space="preserve">Click-drag path tool to define start/end points</w:t>
            </w:r>
          </w:p>
          <w:p>
            <w:pPr>
              <w:pStyle w:val="ListParagraph"/>
              <w:numPr>
                <w:ilvl w:val="0"/>
                <w:numId w:val="2"/>
              </w:numPr>
              <w:spacing w:after="40" w:before="30"/>
            </w:pPr>
            <w:r>
              <w:rPr>
                <w:rFonts w:ascii="Arial" w:cs="Arial" w:eastAsia="Arial" w:hAnsi="Arial"/>
                <w:color w:val="334155"/>
                <w:sz w:val="20"/>
                <w:szCs w:val="20"/>
              </w:rPr>
              <w:t xml:space="preserve">Elevation profile chart (SVG/Canvas) with terrain cross-section</w:t>
            </w:r>
          </w:p>
          <w:p>
            <w:pPr>
              <w:pStyle w:val="ListParagraph"/>
              <w:numPr>
                <w:ilvl w:val="0"/>
                <w:numId w:val="2"/>
              </w:numPr>
              <w:spacing w:after="40" w:before="30"/>
            </w:pPr>
            <w:r>
              <w:rPr>
                <w:rFonts w:ascii="Arial" w:cs="Arial" w:eastAsia="Arial" w:hAnsi="Arial"/>
                <w:color w:val="334155"/>
                <w:sz w:val="20"/>
                <w:szCs w:val="20"/>
              </w:rPr>
              <w:t xml:space="preserve">First Fresnel zone ellipse plotted as a shaded band</w:t>
            </w:r>
          </w:p>
          <w:p>
            <w:pPr>
              <w:pStyle w:val="ListParagraph"/>
              <w:numPr>
                <w:ilvl w:val="0"/>
                <w:numId w:val="2"/>
              </w:numPr>
              <w:spacing w:after="40" w:before="30"/>
            </w:pPr>
            <w:r>
              <w:rPr>
                <w:rFonts w:ascii="Arial" w:cs="Arial" w:eastAsia="Arial" w:hAnsi="Arial"/>
                <w:color w:val="334155"/>
                <w:sz w:val="20"/>
                <w:szCs w:val="20"/>
              </w:rPr>
              <w:t xml:space="preserve">Clearance margin indicated at narrowest point (pass/fail)</w:t>
            </w:r>
          </w:p>
          <w:p>
            <w:pPr>
              <w:pStyle w:val="ListParagraph"/>
              <w:numPr>
                <w:ilvl w:val="0"/>
                <w:numId w:val="2"/>
              </w:numPr>
              <w:spacing w:after="40" w:before="30"/>
            </w:pPr>
            <w:r>
              <w:rPr>
                <w:rFonts w:ascii="Arial" w:cs="Arial" w:eastAsia="Arial" w:hAnsi="Arial"/>
                <w:color w:val="334155"/>
                <w:sz w:val="20"/>
                <w:szCs w:val="20"/>
              </w:rPr>
              <w:t xml:space="preserve">LOS line drawn on the 3D map simultaneously</w:t>
            </w:r>
          </w:p>
          <w:p>
            <w:pPr>
              <w:pStyle w:val="ListParagraph"/>
              <w:numPr>
                <w:ilvl w:val="0"/>
                <w:numId w:val="2"/>
              </w:numPr>
              <w:spacing w:after="40" w:before="30"/>
            </w:pPr>
            <w:r>
              <w:rPr>
                <w:rFonts w:ascii="Arial" w:cs="Arial" w:eastAsia="Arial" w:hAnsi="Arial"/>
                <w:color w:val="334155"/>
                <w:sz w:val="20"/>
                <w:szCs w:val="20"/>
              </w:rPr>
              <w:t xml:space="preserve">Obstruction analysis: list of terrain peaks intersecting the Fresnel zone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Technical
Approach</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Terrain samples along the path via the existing Terrain-RGB sampler. Fresnel radius computed as r = sqrt(n·λ·d1·d2 / (d1+d2)). Chart rendered as an SVG panel. Matches RadioPlanner 3.0 capability.</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UX Impact</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Essential for point-to-point link planning. Removes the guesswork from relay positioning between valleys.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Priority / Effort</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Priority: </w:t>
            </w:r>
            <w:r>
              <w:rPr>
                <w:rFonts w:ascii="Arial" w:cs="Arial" w:eastAsia="Arial" w:hAnsi="Arial"/>
                <w:b/>
                <w:bCs/>
                <w:color w:val="DC2626"/>
                <w:sz w:val="20"/>
                <w:szCs w:val="20"/>
              </w:rPr>
              <w:t xml:space="preserve">High</w:t>
            </w:r>
            <w:r>
              <w:rPr>
                <w:rFonts w:ascii="Arial" w:cs="Arial" w:eastAsia="Arial" w:hAnsi="Arial"/>
                <w:b/>
                <w:bCs/>
                <w:color w:val="334155"/>
                <w:sz w:val="20"/>
                <w:szCs w:val="20"/>
              </w:rPr>
              <w:t xml:space="preserve">     Estimated effort: </w:t>
            </w:r>
            <w:r>
              <w:rPr>
                <w:rFonts w:ascii="Arial" w:cs="Arial" w:eastAsia="Arial" w:hAnsi="Arial"/>
                <w:color w:val="334155"/>
                <w:sz w:val="20"/>
                <w:szCs w:val="20"/>
              </w:rPr>
              <w:t xml:space="preserve">3–4 days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00"/>
              <w:left w:type="dxa" w:w="160"/>
              <w:bottom w:type="dxa" w:w="100"/>
              <w:right w:type="dxa" w:w="160"/>
            </w:tcMar>
          </w:tcPr>
          <w:p>
            <w:r>
              <w:rPr>
                <w:rFonts w:ascii="Arial" w:cs="Arial" w:eastAsia="Arial" w:hAnsi="Arial"/>
                <w:b/>
                <w:bCs/>
                <w:color w:val="CCFBF1"/>
                <w:sz w:val="26"/>
                <w:szCs w:val="26"/>
              </w:rPr>
              <w:t xml:space="preserve">M15  </w:t>
            </w:r>
            <w:r>
              <w:rPr>
                <w:rFonts w:ascii="Arial" w:cs="Arial" w:eastAsia="Arial" w:hAnsi="Arial"/>
                <w:b/>
                <w:bCs/>
                <w:color w:val="FFFFFF"/>
                <w:sz w:val="26"/>
                <w:szCs w:val="26"/>
              </w:rPr>
              <w:t xml:space="preserve">DMR / Digital Mode Coverage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Goal</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Render dual coverage contours for digital modes — reliable coverage and the digital cliff edge.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Key Features</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pStyle w:val="ListParagraph"/>
              <w:numPr>
                <w:ilvl w:val="0"/>
                <w:numId w:val="2"/>
              </w:numPr>
              <w:spacing w:after="40" w:before="30"/>
            </w:pPr>
            <w:r>
              <w:rPr>
                <w:rFonts w:ascii="Arial" w:cs="Arial" w:eastAsia="Arial" w:hAnsi="Arial"/>
                <w:color w:val="334155"/>
                <w:sz w:val="20"/>
                <w:szCs w:val="20"/>
              </w:rPr>
              <w:t xml:space="preserve">Two configurable threshold overlays per site: Reliable (e.g., -95 dBm) and Cliff (e.g., -112 dBm)</w:t>
            </w:r>
          </w:p>
          <w:p>
            <w:pPr>
              <w:pStyle w:val="ListParagraph"/>
              <w:numPr>
                <w:ilvl w:val="0"/>
                <w:numId w:val="2"/>
              </w:numPr>
              <w:spacing w:after="40" w:before="30"/>
            </w:pPr>
            <w:r>
              <w:rPr>
                <w:rFonts w:ascii="Arial" w:cs="Arial" w:eastAsia="Arial" w:hAnsi="Arial"/>
                <w:color w:val="334155"/>
                <w:sz w:val="20"/>
                <w:szCs w:val="20"/>
              </w:rPr>
              <w:t xml:space="preserve">Visually distinct rendering: solid fill for reliable, hatched/dashed boundary for cliff zone</w:t>
            </w:r>
          </w:p>
          <w:p>
            <w:pPr>
              <w:pStyle w:val="ListParagraph"/>
              <w:numPr>
                <w:ilvl w:val="0"/>
                <w:numId w:val="2"/>
              </w:numPr>
              <w:spacing w:after="40" w:before="30"/>
            </w:pPr>
            <w:r>
              <w:rPr>
                <w:rFonts w:ascii="Arial" w:cs="Arial" w:eastAsia="Arial" w:hAnsi="Arial"/>
                <w:color w:val="334155"/>
                <w:sz w:val="20"/>
                <w:szCs w:val="20"/>
              </w:rPr>
              <w:t xml:space="preserve">DMR Tier II / Tier III trunked system parameters (repeater offset, colour code, timeslot)</w:t>
            </w:r>
          </w:p>
          <w:p>
            <w:pPr>
              <w:pStyle w:val="ListParagraph"/>
              <w:numPr>
                <w:ilvl w:val="0"/>
                <w:numId w:val="2"/>
              </w:numPr>
              <w:spacing w:after="40" w:before="30"/>
            </w:pPr>
            <w:r>
              <w:rPr>
                <w:rFonts w:ascii="Arial" w:cs="Arial" w:eastAsia="Arial" w:hAnsi="Arial"/>
                <w:color w:val="334155"/>
                <w:sz w:val="20"/>
                <w:szCs w:val="20"/>
              </w:rPr>
              <w:t xml:space="preserve">Simulcast delay-spread indicator (flags sites &lt; 1.5 km apart in overlapping zones)</w:t>
            </w:r>
          </w:p>
          <w:p>
            <w:pPr>
              <w:pStyle w:val="ListParagraph"/>
              <w:numPr>
                <w:ilvl w:val="0"/>
                <w:numId w:val="2"/>
              </w:numPr>
              <w:spacing w:after="40" w:before="30"/>
            </w:pPr>
            <w:r>
              <w:rPr>
                <w:rFonts w:ascii="Arial" w:cs="Arial" w:eastAsia="Arial" w:hAnsi="Arial"/>
                <w:color w:val="334155"/>
                <w:sz w:val="20"/>
                <w:szCs w:val="20"/>
              </w:rPr>
              <w:t xml:space="preserve">Erlang capacity estimate per repeater (based on busy-hour traffic model input)</w:t>
            </w:r>
          </w:p>
          <w:p>
            <w:pPr>
              <w:pStyle w:val="ListParagraph"/>
              <w:numPr>
                <w:ilvl w:val="0"/>
                <w:numId w:val="2"/>
              </w:numPr>
              <w:spacing w:after="40" w:before="30"/>
            </w:pPr>
            <w:r>
              <w:rPr>
                <w:rFonts w:ascii="Arial" w:cs="Arial" w:eastAsia="Arial" w:hAnsi="Arial"/>
                <w:color w:val="334155"/>
                <w:sz w:val="20"/>
                <w:szCs w:val="20"/>
              </w:rPr>
              <w:t xml:space="preserve">Export dual-contour polygons to KML with separate folders per tier</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Technical
Approach</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Two separate signal-threshold polygons per site using existing coverage raster. Hatch pattern via CSS/SVG masking on the MapLibre overlay. Simulcast flagging from inter-site distance matrix.</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UX Impact</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Directly addresses the MotoTRBO/DMR and emergency-services use case. The digital cliff is the operationally critical boundary, not the analogue edge.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Priority / Effort</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Priority: </w:t>
            </w:r>
            <w:r>
              <w:rPr>
                <w:rFonts w:ascii="Arial" w:cs="Arial" w:eastAsia="Arial" w:hAnsi="Arial"/>
                <w:b/>
                <w:bCs/>
                <w:color w:val="D97706"/>
                <w:sz w:val="20"/>
                <w:szCs w:val="20"/>
              </w:rPr>
              <w:t xml:space="preserve">Medium</w:t>
            </w:r>
            <w:r>
              <w:rPr>
                <w:rFonts w:ascii="Arial" w:cs="Arial" w:eastAsia="Arial" w:hAnsi="Arial"/>
                <w:b/>
                <w:bCs/>
                <w:color w:val="334155"/>
                <w:sz w:val="20"/>
                <w:szCs w:val="20"/>
              </w:rPr>
              <w:t xml:space="preserve">     Estimated effort: </w:t>
            </w:r>
            <w:r>
              <w:rPr>
                <w:rFonts w:ascii="Arial" w:cs="Arial" w:eastAsia="Arial" w:hAnsi="Arial"/>
                <w:color w:val="334155"/>
                <w:sz w:val="20"/>
                <w:szCs w:val="20"/>
              </w:rPr>
              <w:t xml:space="preserve">4–5 days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00"/>
              <w:left w:type="dxa" w:w="160"/>
              <w:bottom w:type="dxa" w:w="100"/>
              <w:right w:type="dxa" w:w="160"/>
            </w:tcMar>
          </w:tcPr>
          <w:p>
            <w:r>
              <w:rPr>
                <w:rFonts w:ascii="Arial" w:cs="Arial" w:eastAsia="Arial" w:hAnsi="Arial"/>
                <w:b/>
                <w:bCs/>
                <w:color w:val="CCFBF1"/>
                <w:sz w:val="26"/>
                <w:szCs w:val="26"/>
              </w:rPr>
              <w:t xml:space="preserve">M16  </w:t>
            </w:r>
            <w:r>
              <w:rPr>
                <w:rFonts w:ascii="Arial" w:cs="Arial" w:eastAsia="Arial" w:hAnsi="Arial"/>
                <w:b/>
                <w:bCs/>
                <w:color w:val="FFFFFF"/>
                <w:sz w:val="26"/>
                <w:szCs w:val="26"/>
              </w:rPr>
              <w:t xml:space="preserve">Enhanced Export &amp; TAK Interop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Goal</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Export coverage rasters and site data in formats natively consumed by QGIS, CivTAK, and ATAK.</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Key Features</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pStyle w:val="ListParagraph"/>
              <w:numPr>
                <w:ilvl w:val="0"/>
                <w:numId w:val="2"/>
              </w:numPr>
              <w:spacing w:after="40" w:before="30"/>
            </w:pPr>
            <w:r>
              <w:rPr>
                <w:rFonts w:ascii="Arial" w:cs="Arial" w:eastAsia="Arial" w:hAnsi="Arial"/>
                <w:color w:val="334155"/>
                <w:sz w:val="20"/>
                <w:szCs w:val="20"/>
              </w:rPr>
              <w:t xml:space="preserve">GeoTIFF export of coverage raster (signal level as raster values, EPSG:4326)</w:t>
            </w:r>
          </w:p>
          <w:p>
            <w:pPr>
              <w:pStyle w:val="ListParagraph"/>
              <w:numPr>
                <w:ilvl w:val="0"/>
                <w:numId w:val="2"/>
              </w:numPr>
              <w:spacing w:after="40" w:before="30"/>
            </w:pPr>
            <w:r>
              <w:rPr>
                <w:rFonts w:ascii="Arial" w:cs="Arial" w:eastAsia="Arial" w:hAnsi="Arial"/>
                <w:color w:val="334155"/>
                <w:sz w:val="20"/>
                <w:szCs w:val="20"/>
              </w:rPr>
              <w:t xml:space="preserve">KMZ package with coverage overlay image + site placemarks + network links</w:t>
            </w:r>
          </w:p>
          <w:p>
            <w:pPr>
              <w:pStyle w:val="ListParagraph"/>
              <w:numPr>
                <w:ilvl w:val="0"/>
                <w:numId w:val="2"/>
              </w:numPr>
              <w:spacing w:after="40" w:before="30"/>
            </w:pPr>
            <w:r>
              <w:rPr>
                <w:rFonts w:ascii="Arial" w:cs="Arial" w:eastAsia="Arial" w:hAnsi="Arial"/>
                <w:color w:val="334155"/>
                <w:sz w:val="20"/>
                <w:szCs w:val="20"/>
              </w:rPr>
              <w:t xml:space="preserve">CivTAK CoT data package (.zip) with GeoTIFF overlay and waypoint CoT events</w:t>
            </w:r>
          </w:p>
          <w:p>
            <w:pPr>
              <w:pStyle w:val="ListParagraph"/>
              <w:numPr>
                <w:ilvl w:val="0"/>
                <w:numId w:val="2"/>
              </w:numPr>
              <w:spacing w:after="40" w:before="30"/>
            </w:pPr>
            <w:r>
              <w:rPr>
                <w:rFonts w:ascii="Arial" w:cs="Arial" w:eastAsia="Arial" w:hAnsi="Arial"/>
                <w:color w:val="334155"/>
                <w:sz w:val="20"/>
                <w:szCs w:val="20"/>
              </w:rPr>
              <w:t xml:space="preserve">WMS/WMTS endpoint simulation via local service worker (for QGIS direct import)</w:t>
            </w:r>
          </w:p>
          <w:p>
            <w:pPr>
              <w:pStyle w:val="ListParagraph"/>
              <w:numPr>
                <w:ilvl w:val="0"/>
                <w:numId w:val="2"/>
              </w:numPr>
              <w:spacing w:after="40" w:before="30"/>
            </w:pPr>
            <w:r>
              <w:rPr>
                <w:rFonts w:ascii="Arial" w:cs="Arial" w:eastAsia="Arial" w:hAnsi="Arial"/>
                <w:color w:val="334155"/>
                <w:sz w:val="20"/>
                <w:szCs w:val="20"/>
              </w:rPr>
              <w:t xml:space="preserve">Export settings panel: resolution (30m/90m/300m), colour ramp, band selection</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Technical
Approach</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GeoTIFF generated client-side via geotiff.js. KMZ via JSZip. CoT XML generated from template. CivTAK package follows the ATAK Data Package format spec. QGIS WMS via service worker proxy.</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UX Impact</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Closes the loop between GroundLink planning and field deployment on ATAK devices and GIS analysis in QGIS. No server required.</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Priority / Effort</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Priority: </w:t>
            </w:r>
            <w:r>
              <w:rPr>
                <w:rFonts w:ascii="Arial" w:cs="Arial" w:eastAsia="Arial" w:hAnsi="Arial"/>
                <w:b/>
                <w:bCs/>
                <w:color w:val="DC2626"/>
                <w:sz w:val="20"/>
                <w:szCs w:val="20"/>
              </w:rPr>
              <w:t xml:space="preserve">High</w:t>
            </w:r>
            <w:r>
              <w:rPr>
                <w:rFonts w:ascii="Arial" w:cs="Arial" w:eastAsia="Arial" w:hAnsi="Arial"/>
                <w:b/>
                <w:bCs/>
                <w:color w:val="334155"/>
                <w:sz w:val="20"/>
                <w:szCs w:val="20"/>
              </w:rPr>
              <w:t xml:space="preserve">     Estimated effort: </w:t>
            </w:r>
            <w:r>
              <w:rPr>
                <w:rFonts w:ascii="Arial" w:cs="Arial" w:eastAsia="Arial" w:hAnsi="Arial"/>
                <w:color w:val="334155"/>
                <w:sz w:val="20"/>
                <w:szCs w:val="20"/>
              </w:rPr>
              <w:t xml:space="preserve">5–6 days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00"/>
              <w:left w:type="dxa" w:w="160"/>
              <w:bottom w:type="dxa" w:w="100"/>
              <w:right w:type="dxa" w:w="160"/>
            </w:tcMar>
          </w:tcPr>
          <w:p>
            <w:r>
              <w:rPr>
                <w:rFonts w:ascii="Arial" w:cs="Arial" w:eastAsia="Arial" w:hAnsi="Arial"/>
                <w:b/>
                <w:bCs/>
                <w:color w:val="CCFBF1"/>
                <w:sz w:val="26"/>
                <w:szCs w:val="26"/>
              </w:rPr>
              <w:t xml:space="preserve">M17  </w:t>
            </w:r>
            <w:r>
              <w:rPr>
                <w:rFonts w:ascii="Arial" w:cs="Arial" w:eastAsia="Arial" w:hAnsi="Arial"/>
                <w:b/>
                <w:bCs/>
                <w:color w:val="FFFFFF"/>
                <w:sz w:val="26"/>
                <w:szCs w:val="26"/>
              </w:rPr>
              <w:t xml:space="preserve">Offline PWA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Goal</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Allow the full planning workflow without internet access — essential for field use.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Key Features</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pStyle w:val="ListParagraph"/>
              <w:numPr>
                <w:ilvl w:val="0"/>
                <w:numId w:val="2"/>
              </w:numPr>
              <w:spacing w:after="40" w:before="30"/>
            </w:pPr>
            <w:r>
              <w:rPr>
                <w:rFonts w:ascii="Arial" w:cs="Arial" w:eastAsia="Arial" w:hAnsi="Arial"/>
                <w:color w:val="334155"/>
                <w:sz w:val="20"/>
                <w:szCs w:val="20"/>
              </w:rPr>
              <w:t xml:space="preserve">Service Worker caching all app assets and JS for offline operation</w:t>
            </w:r>
          </w:p>
          <w:p>
            <w:pPr>
              <w:pStyle w:val="ListParagraph"/>
              <w:numPr>
                <w:ilvl w:val="0"/>
                <w:numId w:val="2"/>
              </w:numPr>
              <w:spacing w:after="40" w:before="30"/>
            </w:pPr>
            <w:r>
              <w:rPr>
                <w:rFonts w:ascii="Arial" w:cs="Arial" w:eastAsia="Arial" w:hAnsi="Arial"/>
                <w:color w:val="334155"/>
                <w:sz w:val="20"/>
                <w:szCs w:val="20"/>
              </w:rPr>
              <w:t xml:space="preserve">PMTiles basemap bundle (vector tiles for offline basemap, ~200 MB for a region)</w:t>
            </w:r>
          </w:p>
          <w:p>
            <w:pPr>
              <w:pStyle w:val="ListParagraph"/>
              <w:numPr>
                <w:ilvl w:val="0"/>
                <w:numId w:val="2"/>
              </w:numPr>
              <w:spacing w:after="40" w:before="30"/>
            </w:pPr>
            <w:r>
              <w:rPr>
                <w:rFonts w:ascii="Arial" w:cs="Arial" w:eastAsia="Arial" w:hAnsi="Arial"/>
                <w:color w:val="334155"/>
                <w:sz w:val="20"/>
                <w:szCs w:val="20"/>
              </w:rPr>
              <w:t xml:space="preserve">DEM tile pre-caching for a defined AOI bounding box</w:t>
            </w:r>
          </w:p>
          <w:p>
            <w:pPr>
              <w:pStyle w:val="ListParagraph"/>
              <w:numPr>
                <w:ilvl w:val="0"/>
                <w:numId w:val="2"/>
              </w:numPr>
              <w:spacing w:after="40" w:before="30"/>
            </w:pPr>
            <w:r>
              <w:rPr>
                <w:rFonts w:ascii="Arial" w:cs="Arial" w:eastAsia="Arial" w:hAnsi="Arial"/>
                <w:color w:val="334155"/>
                <w:sz w:val="20"/>
                <w:szCs w:val="20"/>
              </w:rPr>
              <w:t xml:space="preserve">Install-to-homescreen prompt (PWA manifest) on iOS and Android</w:t>
            </w:r>
          </w:p>
          <w:p>
            <w:pPr>
              <w:pStyle w:val="ListParagraph"/>
              <w:numPr>
                <w:ilvl w:val="0"/>
                <w:numId w:val="2"/>
              </w:numPr>
              <w:spacing w:after="40" w:before="30"/>
            </w:pPr>
            <w:r>
              <w:rPr>
                <w:rFonts w:ascii="Arial" w:cs="Arial" w:eastAsia="Arial" w:hAnsi="Arial"/>
                <w:color w:val="334155"/>
                <w:sz w:val="20"/>
                <w:szCs w:val="20"/>
              </w:rPr>
              <w:t xml:space="preserve">Offline indicator in the status bar; graceful degradation for uncached tile areas</w:t>
            </w:r>
          </w:p>
          <w:p>
            <w:pPr>
              <w:pStyle w:val="ListParagraph"/>
              <w:numPr>
                <w:ilvl w:val="0"/>
                <w:numId w:val="2"/>
              </w:numPr>
              <w:spacing w:after="40" w:before="30"/>
            </w:pPr>
            <w:r>
              <w:rPr>
                <w:rFonts w:ascii="Arial" w:cs="Arial" w:eastAsia="Arial" w:hAnsi="Arial"/>
                <w:color w:val="334155"/>
                <w:sz w:val="20"/>
                <w:szCs w:val="20"/>
              </w:rPr>
              <w:t xml:space="preserve">Region download manager: select AOI, estimate size, download in background</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Technical
Approach</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Workbox service worker for asset caching. PMTiles via pmtiles.js (single-file archive, range-request protocol). DEM tiles pre-fetched and stored in IndexedDB/Cache API. Vite PWA plugin for manifest generation.</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UX Impact</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Transforms GroundLink from a planning-only tool to a field-deployable asset. Critical for expeditions, SAR deployments, and BVLOS drone operations in remote areas.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Priority / Effort</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Priority: </w:t>
            </w:r>
            <w:r>
              <w:rPr>
                <w:rFonts w:ascii="Arial" w:cs="Arial" w:eastAsia="Arial" w:hAnsi="Arial"/>
                <w:b/>
                <w:bCs/>
                <w:color w:val="D97706"/>
                <w:sz w:val="20"/>
                <w:szCs w:val="20"/>
              </w:rPr>
              <w:t xml:space="preserve">Medium</w:t>
            </w:r>
            <w:r>
              <w:rPr>
                <w:rFonts w:ascii="Arial" w:cs="Arial" w:eastAsia="Arial" w:hAnsi="Arial"/>
                <w:b/>
                <w:bCs/>
                <w:color w:val="334155"/>
                <w:sz w:val="20"/>
                <w:szCs w:val="20"/>
              </w:rPr>
              <w:t xml:space="preserve">     Estimated effort: </w:t>
            </w:r>
            <w:r>
              <w:rPr>
                <w:rFonts w:ascii="Arial" w:cs="Arial" w:eastAsia="Arial" w:hAnsi="Arial"/>
                <w:color w:val="334155"/>
                <w:sz w:val="20"/>
                <w:szCs w:val="20"/>
              </w:rPr>
              <w:t xml:space="preserve">8–10 days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00"/>
              <w:left w:type="dxa" w:w="160"/>
              <w:bottom w:type="dxa" w:w="100"/>
              <w:right w:type="dxa" w:w="160"/>
            </w:tcMar>
          </w:tcPr>
          <w:p>
            <w:r>
              <w:rPr>
                <w:rFonts w:ascii="Arial" w:cs="Arial" w:eastAsia="Arial" w:hAnsi="Arial"/>
                <w:b/>
                <w:bCs/>
                <w:color w:val="CCFBF1"/>
                <w:sz w:val="26"/>
                <w:szCs w:val="26"/>
              </w:rPr>
              <w:t xml:space="preserve">M18  </w:t>
            </w:r>
            <w:r>
              <w:rPr>
                <w:rFonts w:ascii="Arial" w:cs="Arial" w:eastAsia="Arial" w:hAnsi="Arial"/>
                <w:b/>
                <w:bCs/>
                <w:color w:val="FFFFFF"/>
                <w:sz w:val="26"/>
                <w:szCs w:val="26"/>
              </w:rPr>
              <w:t xml:space="preserve">Optional CloudRF / SOOTHSAYER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Goal</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Enable ITM-grade propagation via CloudRF API or a local SOOTHSAYER Docker instance for users who require it.</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Key Features</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pStyle w:val="ListParagraph"/>
              <w:numPr>
                <w:ilvl w:val="0"/>
                <w:numId w:val="2"/>
              </w:numPr>
              <w:spacing w:after="40" w:before="30"/>
            </w:pPr>
            <w:r>
              <w:rPr>
                <w:rFonts w:ascii="Arial" w:cs="Arial" w:eastAsia="Arial" w:hAnsi="Arial"/>
                <w:color w:val="334155"/>
                <w:sz w:val="20"/>
                <w:szCs w:val="20"/>
              </w:rPr>
              <w:t xml:space="preserve">Backend selector in Settings: None (client-side) / CloudRF API / SOOTHSAYER (local)</w:t>
            </w:r>
          </w:p>
          <w:p>
            <w:pPr>
              <w:pStyle w:val="ListParagraph"/>
              <w:numPr>
                <w:ilvl w:val="0"/>
                <w:numId w:val="2"/>
              </w:numPr>
              <w:spacing w:after="40" w:before="30"/>
            </w:pPr>
            <w:r>
              <w:rPr>
                <w:rFonts w:ascii="Arial" w:cs="Arial" w:eastAsia="Arial" w:hAnsi="Arial"/>
                <w:color w:val="334155"/>
                <w:sz w:val="20"/>
                <w:szCs w:val="20"/>
              </w:rPr>
              <w:t xml:space="preserve">CloudRF API key entry (runtime, never stored in source)</w:t>
            </w:r>
          </w:p>
          <w:p>
            <w:pPr>
              <w:pStyle w:val="ListParagraph"/>
              <w:numPr>
                <w:ilvl w:val="0"/>
                <w:numId w:val="2"/>
              </w:numPr>
              <w:spacing w:after="40" w:before="30"/>
            </w:pPr>
            <w:r>
              <w:rPr>
                <w:rFonts w:ascii="Arial" w:cs="Arial" w:eastAsia="Arial" w:hAnsi="Arial"/>
                <w:color w:val="334155"/>
                <w:sz w:val="20"/>
                <w:szCs w:val="20"/>
              </w:rPr>
              <w:t xml:space="preserve">ITM propagation request builder: maps GroundLink parameters to CloudRF request schema</w:t>
            </w:r>
          </w:p>
          <w:p>
            <w:pPr>
              <w:pStyle w:val="ListParagraph"/>
              <w:numPr>
                <w:ilvl w:val="0"/>
                <w:numId w:val="2"/>
              </w:numPr>
              <w:spacing w:after="40" w:before="30"/>
            </w:pPr>
            <w:r>
              <w:rPr>
                <w:rFonts w:ascii="Arial" w:cs="Arial" w:eastAsia="Arial" w:hAnsi="Arial"/>
                <w:color w:val="334155"/>
                <w:sz w:val="20"/>
                <w:szCs w:val="20"/>
              </w:rPr>
              <w:t xml:space="preserve">Result ingestion: render CloudRF GeoTIFF response as a coverage layer</w:t>
            </w:r>
          </w:p>
          <w:p>
            <w:pPr>
              <w:pStyle w:val="ListParagraph"/>
              <w:numPr>
                <w:ilvl w:val="0"/>
                <w:numId w:val="2"/>
              </w:numPr>
              <w:spacing w:after="40" w:before="30"/>
            </w:pPr>
            <w:r>
              <w:rPr>
                <w:rFonts w:ascii="Arial" w:cs="Arial" w:eastAsia="Arial" w:hAnsi="Arial"/>
                <w:color w:val="334155"/>
                <w:sz w:val="20"/>
                <w:szCs w:val="20"/>
              </w:rPr>
              <w:t xml:space="preserve">SOOTHSAYER: Docker endpoint URL entry; same request/response pipeline as CloudRF</w:t>
            </w:r>
          </w:p>
          <w:p>
            <w:pPr>
              <w:pStyle w:val="ListParagraph"/>
              <w:numPr>
                <w:ilvl w:val="0"/>
                <w:numId w:val="2"/>
              </w:numPr>
              <w:spacing w:after="40" w:before="30"/>
            </w:pPr>
            <w:r>
              <w:rPr>
                <w:rFonts w:ascii="Arial" w:cs="Arial" w:eastAsia="Arial" w:hAnsi="Arial"/>
                <w:color w:val="334155"/>
                <w:sz w:val="20"/>
                <w:szCs w:val="20"/>
              </w:rPr>
              <w:t xml:space="preserve">Fallback to FSPL+Deygout if backend is unavailable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Technical
Approach</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CloudRF REST API v3. SOOTHSAYER uses the same API surface. GeoTIFF response handled by the M16 GeoTIFF pipeline. API key passed in Authorization header only; zero persistence.</w:t>
            </w:r>
          </w:p>
        </w:tc>
      </w:tr>
      <w:tr>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D9488"/>
                <w:sz w:val="20"/>
                <w:szCs w:val="20"/>
              </w:rPr>
              <w:t xml:space="preserve">UX Impact</w:t>
            </w:r>
          </w:p>
        </w:tc>
        <w:tc>
          <w:tcPr>
            <w:tcW w:type="dxa" w:w="7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Provides a migration path for power users who need ITM accuracy without forcing a backend dependency on all users. Keeps the default experience fully client-side.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Priority / Effort</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334155"/>
                <w:sz w:val="20"/>
                <w:szCs w:val="20"/>
              </w:rPr>
              <w:t xml:space="preserve">Priority: </w:t>
            </w:r>
            <w:r>
              <w:rPr>
                <w:rFonts w:ascii="Arial" w:cs="Arial" w:eastAsia="Arial" w:hAnsi="Arial"/>
                <w:b/>
                <w:bCs/>
                <w:color w:val="64748B"/>
                <w:sz w:val="20"/>
                <w:szCs w:val="20"/>
              </w:rPr>
              <w:t xml:space="preserve">Low</w:t>
            </w:r>
            <w:r>
              <w:rPr>
                <w:rFonts w:ascii="Arial" w:cs="Arial" w:eastAsia="Arial" w:hAnsi="Arial"/>
                <w:b/>
                <w:bCs/>
                <w:color w:val="334155"/>
                <w:sz w:val="20"/>
                <w:szCs w:val="20"/>
              </w:rPr>
              <w:t xml:space="preserve">     Estimated effort: </w:t>
            </w:r>
            <w:r>
              <w:rPr>
                <w:rFonts w:ascii="Arial" w:cs="Arial" w:eastAsia="Arial" w:hAnsi="Arial"/>
                <w:color w:val="334155"/>
                <w:sz w:val="20"/>
                <w:szCs w:val="20"/>
              </w:rPr>
              <w:t xml:space="preserve">4–5 days</w:t>
            </w:r>
          </w:p>
        </w:tc>
      </w:tr>
    </w:tbl>
    <w:p>
      <w:pPr>
        <w:spacing w:after="200" w:before="0"/>
      </w:pPr>
    </w:p>
    <w:p>
      <w:r>
        <w:br w:type="page"/>
      </w:r>
    </w:p>
    <w:p>
      <w:pPr>
        <w:pStyle w:val="Heading1"/>
        <w:spacing w:after="100" w:before="280"/>
      </w:pPr>
      <w:r>
        <w:rPr>
          <w:rFonts w:ascii="Arial" w:cs="Arial" w:eastAsia="Arial" w:hAnsi="Arial"/>
        </w:rPr>
        <w:t xml:space="preserve">4. Feature Matrix — Competitive Comparison</w:t>
      </w:r>
    </w:p>
    <w:p>
      <w:pPr>
        <w:pBdr>
          <w:bottom w:val="single" w:color="0D9488" w:sz="4" w:space="1"/>
        </w:pBdr>
        <w:spacing w:after="100" w:before="100"/>
      </w:pPr>
    </w:p>
    <w:p>
      <w:pPr>
        <w:spacing w:after="80" w:before="0"/>
      </w:pPr>
    </w:p>
    <w:p>
      <w:pPr>
        <w:spacing w:after="100" w:before="60"/>
        <w:jc w:val="left"/>
      </w:pPr>
      <w:r>
        <w:rPr>
          <w:rFonts w:ascii="Arial" w:cs="Arial" w:eastAsia="Arial" w:hAnsi="Arial"/>
          <w:color w:val="334155"/>
          <w:sz w:val="22"/>
          <w:szCs w:val="22"/>
        </w:rPr>
        <w:t xml:space="preserve">The table below compares GroundLink against its primary competitors across key planning capabilities. "Y" indicates current support; milestone references (e.g., M14) indicate planned support in the roadmap. "–" indicates no support.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320"/>
        <w:gridCol w:w="1560"/>
        <w:gridCol w:w="1800"/>
        <w:gridCol w:w="1560"/>
      </w:tblGrid>
      <w:tr>
        <w:trPr>
          <w:tblHeader/>
        </w:trPr>
        <w:tc>
          <w:tcPr>
            <w:tcW w:type="dxa" w:w="312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132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CloudRF</w:t>
            </w:r>
          </w:p>
        </w:tc>
        <w:tc>
          <w:tcPr>
            <w:tcW w:type="dxa" w:w="156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RadioPlanner 3.0</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GroundLink Current</w:t>
            </w:r>
          </w:p>
        </w:tc>
        <w:tc>
          <w:tcPr>
            <w:tcW w:type="dxa" w:w="156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GroundLink Roadmap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FSPL propagation</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Longley-Rice / ITM</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M18</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Knife-edge / Deygout</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3D terrain-aware coverage</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Fresnel zone path profile</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M14</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DMR dual-contour coverage</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M15</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Simulcast delay-spread check</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M15</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Erlang capacity estimate</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M15</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Per-team / per-operator planning</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M13</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HF ionosphere planning</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M12</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Site recommendation (auto)</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Drone / airborne relay</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Radio library + spider chart</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Power &amp; battery planning</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Cellular coverage overlay</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Named locations / waypoints</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M11</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User/Advanced mode toggle</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M10</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PACE plan generation</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KML / GeoJSON export</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GeoTIFF export</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M16</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KMZ / CivTAK CoT package</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M16</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ATAK / TAK interop</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Offline PWA / field deploy</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4155"/>
                <w:sz w:val="20"/>
                <w:szCs w:val="20"/>
              </w:rPr>
              <w:t xml:space="preserve">Y*</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M17</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No account required</w:t>
            </w:r>
          </w:p>
        </w:tc>
        <w:tc>
          <w:tcPr>
            <w:tcW w:type="dxa" w:w="1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Client-side only (OPSEC)</w:t>
            </w:r>
          </w:p>
        </w:tc>
        <w:tc>
          <w:tcPr>
            <w:tcW w:type="dxa" w:w="1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4A3B8"/>
                <w:sz w:val="20"/>
                <w:szCs w:val="20"/>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w:t>
            </w:r>
          </w:p>
        </w:tc>
      </w:tr>
    </w:tbl>
    <w:p>
      <w:pPr>
        <w:spacing w:after="80" w:before="0"/>
      </w:pPr>
    </w:p>
    <w:p>
      <w:pPr>
        <w:spacing w:after="100" w:before="60"/>
        <w:jc w:val="left"/>
      </w:pPr>
      <w:r>
        <w:rPr>
          <w:rFonts w:ascii="Arial" w:cs="Arial" w:eastAsia="Arial" w:hAnsi="Arial"/>
          <w:color w:val="64748B"/>
          <w:sz w:val="20"/>
          <w:szCs w:val="20"/>
        </w:rPr>
        <w:t xml:space="preserve">* CloudRF offline support is via the SOOTHSAYER Docker image — requires a server and technical setup. GroundLink M17 targets browser-native offline via PWA/PMTiles with no server.</w:t>
      </w:r>
    </w:p>
    <w:p>
      <w:r>
        <w:br w:type="page"/>
      </w:r>
    </w:p>
    <w:p>
      <w:pPr>
        <w:pStyle w:val="Heading1"/>
        <w:spacing w:after="100" w:before="280"/>
      </w:pPr>
      <w:r>
        <w:rPr>
          <w:rFonts w:ascii="Arial" w:cs="Arial" w:eastAsia="Arial" w:hAnsi="Arial"/>
        </w:rPr>
        <w:t xml:space="preserve">5. Design Principles for Clutter Prevention</w:t>
      </w:r>
    </w:p>
    <w:p>
      <w:pPr>
        <w:pBdr>
          <w:bottom w:val="single" w:color="0D9488" w:sz="4" w:space="1"/>
        </w:pBdr>
        <w:spacing w:after="100" w:before="100"/>
      </w:pPr>
    </w:p>
    <w:p>
      <w:pPr>
        <w:spacing w:after="80" w:before="0"/>
      </w:pPr>
    </w:p>
    <w:p>
      <w:pPr>
        <w:spacing w:after="100" w:before="60"/>
        <w:jc w:val="left"/>
      </w:pPr>
      <w:r>
        <w:rPr>
          <w:rFonts w:ascii="Arial" w:cs="Arial" w:eastAsia="Arial" w:hAnsi="Arial"/>
          <w:color w:val="334155"/>
          <w:sz w:val="22"/>
          <w:szCs w:val="22"/>
        </w:rPr>
        <w:t xml:space="preserve">GroundLink is operationally complex. Without disciplined UI governance, each milestone adds controls that obscure the primary workflow. The following principles are applied at every design review.</w:t>
      </w:r>
    </w:p>
    <w:p>
      <w:pPr>
        <w:spacing w:after="100" w:before="0"/>
      </w:pPr>
    </w:p>
    <w:p>
      <w:pPr>
        <w:pStyle w:val="Heading2"/>
        <w:spacing w:after="100" w:before="280"/>
      </w:pPr>
      <w:r>
        <w:rPr>
          <w:rFonts w:ascii="Arial" w:cs="Arial" w:eastAsia="Arial" w:hAnsi="Arial"/>
        </w:rPr>
        <w:t xml:space="preserve">5.1  The User/Advanced Split</w:t>
      </w:r>
    </w:p>
    <w:p>
      <w:pPr>
        <w:spacing w:after="100" w:before="60"/>
        <w:jc w:val="left"/>
      </w:pPr>
      <w:r>
        <w:rPr>
          <w:rFonts w:ascii="Arial" w:cs="Arial" w:eastAsia="Arial" w:hAnsi="Arial"/>
          <w:color w:val="334155"/>
          <w:sz w:val="22"/>
          <w:szCs w:val="22"/>
        </w:rPr>
        <w:t xml:space="preserve">User mode is not a stripped-down version — it is the primary interface. It surfaces the minimum viable set of controls to complete a coverage planning workflow: place AOI, select radio, run coverage, view PACE, export. Every new feature is first designed for User mode, then the advanced parameters are placed behind the toggle. Not the reverse.</w:t>
      </w:r>
    </w:p>
    <w:p>
      <w:pPr>
        <w:pStyle w:val="Heading2"/>
        <w:spacing w:after="100" w:before="280"/>
      </w:pPr>
      <w:r>
        <w:rPr>
          <w:rFonts w:ascii="Arial" w:cs="Arial" w:eastAsia="Arial" w:hAnsi="Arial"/>
        </w:rPr>
        <w:t xml:space="preserve">5.2  Per-Section Advanced Toggles</w:t>
      </w:r>
    </w:p>
    <w:p>
      <w:pPr>
        <w:spacing w:after="100" w:before="60"/>
        <w:jc w:val="left"/>
      </w:pPr>
      <w:r>
        <w:rPr>
          <w:rFonts w:ascii="Arial" w:cs="Arial" w:eastAsia="Arial" w:hAnsi="Arial"/>
          <w:color w:val="334155"/>
          <w:sz w:val="22"/>
          <w:szCs w:val="22"/>
        </w:rPr>
        <w:t xml:space="preserve">Advanced mode is not a single global switch that floods the interface with parameters. Each panel section (Propagation, Antenna, Export) has its own collapse/expand control. This allows a planner to access advanced propagation settings without also seeing advanced export options.</w:t>
      </w:r>
    </w:p>
    <w:p>
      <w:pPr>
        <w:pStyle w:val="Heading2"/>
        <w:spacing w:after="100" w:before="280"/>
      </w:pPr>
      <w:r>
        <w:rPr>
          <w:rFonts w:ascii="Arial" w:cs="Arial" w:eastAsia="Arial" w:hAnsi="Arial"/>
        </w:rPr>
        <w:t xml:space="preserve">5.3  The 10-Minute Field Test</w:t>
      </w:r>
    </w:p>
    <w:p>
      <w:pPr>
        <w:spacing w:after="100" w:before="60"/>
        <w:jc w:val="left"/>
      </w:pPr>
      <w:r>
        <w:rPr>
          <w:rFonts w:ascii="Arial" w:cs="Arial" w:eastAsia="Arial" w:hAnsi="Arial"/>
          <w:color w:val="334155"/>
          <w:sz w:val="22"/>
          <w:szCs w:val="22"/>
        </w:rPr>
        <w:t xml:space="preserve">Every new User-mode element is tested against: "Can a field operator with 10 minutes of familiarisation use this without reading documentation?" If the answer is no, the label, grouping, or default value needs revision — not the feature itself.</w:t>
      </w:r>
    </w:p>
    <w:p>
      <w:pPr>
        <w:pStyle w:val="Heading2"/>
        <w:spacing w:after="100" w:before="280"/>
      </w:pPr>
      <w:r>
        <w:rPr>
          <w:rFonts w:ascii="Arial" w:cs="Arial" w:eastAsia="Arial" w:hAnsi="Arial"/>
        </w:rPr>
        <w:t xml:space="preserve">5.4  Visual Hierarchy Rules</w:t>
      </w:r>
    </w:p>
    <w:p>
      <w:pPr>
        <w:pStyle w:val="ListParagraph"/>
        <w:numPr>
          <w:ilvl w:val="0"/>
          <w:numId w:val="2"/>
        </w:numPr>
        <w:spacing w:after="60" w:before="40"/>
      </w:pPr>
      <w:r>
        <w:rPr>
          <w:rFonts w:ascii="Arial" w:cs="Arial" w:eastAsia="Arial" w:hAnsi="Arial"/>
          <w:color w:val="334155"/>
          <w:sz w:val="22"/>
          <w:szCs w:val="22"/>
        </w:rPr>
        <w:t xml:space="preserve">The primary action is always visually dominant: one teal call-to-action button per panel state.</w:t>
      </w:r>
    </w:p>
    <w:p>
      <w:pPr>
        <w:pStyle w:val="ListParagraph"/>
        <w:numPr>
          <w:ilvl w:val="0"/>
          <w:numId w:val="2"/>
        </w:numPr>
        <w:spacing w:after="60" w:before="40"/>
      </w:pPr>
      <w:r>
        <w:rPr>
          <w:rFonts w:ascii="Arial" w:cs="Arial" w:eastAsia="Arial" w:hAnsi="Arial"/>
          <w:color w:val="334155"/>
          <w:sz w:val="22"/>
          <w:szCs w:val="22"/>
        </w:rPr>
        <w:t xml:space="preserve">Secondary actions (edit, reset, duplicate) are icon-only with tooltip labels.</w:t>
      </w:r>
    </w:p>
    <w:p>
      <w:pPr>
        <w:pStyle w:val="ListParagraph"/>
        <w:numPr>
          <w:ilvl w:val="0"/>
          <w:numId w:val="2"/>
        </w:numPr>
        <w:spacing w:after="60" w:before="40"/>
      </w:pPr>
      <w:r>
        <w:rPr>
          <w:rFonts w:ascii="Arial" w:cs="Arial" w:eastAsia="Arial" w:hAnsi="Arial"/>
          <w:color w:val="334155"/>
          <w:sz w:val="22"/>
          <w:szCs w:val="22"/>
        </w:rPr>
        <w:t xml:space="preserve">Destructive actions (delete site, clear AOI) are separated from primary actions by at least 8 px of space and coloured amber.</w:t>
      </w:r>
    </w:p>
    <w:p>
      <w:pPr>
        <w:pStyle w:val="ListParagraph"/>
        <w:numPr>
          <w:ilvl w:val="0"/>
          <w:numId w:val="2"/>
        </w:numPr>
        <w:spacing w:after="60" w:before="40"/>
      </w:pPr>
      <w:r>
        <w:rPr>
          <w:rFonts w:ascii="Arial" w:cs="Arial" w:eastAsia="Arial" w:hAnsi="Arial"/>
          <w:color w:val="334155"/>
          <w:sz w:val="22"/>
          <w:szCs w:val="22"/>
        </w:rPr>
        <w:t xml:space="preserve">Status information (coverage %, link margin, battery runtime) uses tabular numerals in a fixed-width region so values do not cause layout shifts.</w:t>
      </w:r>
    </w:p>
    <w:p>
      <w:pPr>
        <w:pStyle w:val="ListParagraph"/>
        <w:numPr>
          <w:ilvl w:val="0"/>
          <w:numId w:val="2"/>
        </w:numPr>
        <w:spacing w:after="60" w:before="40"/>
      </w:pPr>
      <w:r>
        <w:rPr>
          <w:rFonts w:ascii="Arial" w:cs="Arial" w:eastAsia="Arial" w:hAnsi="Arial"/>
          <w:color w:val="334155"/>
          <w:sz w:val="22"/>
          <w:szCs w:val="22"/>
        </w:rPr>
        <w:t xml:space="preserve">Map canvas maintains dark styling in both light and dark themes — reducing visual competition with coverage overlays.</w:t>
      </w:r>
    </w:p>
    <w:p>
      <w:pPr>
        <w:spacing w:after="60" w:before="0"/>
      </w:pPr>
    </w:p>
    <w:p>
      <w:pPr>
        <w:pStyle w:val="Heading2"/>
        <w:spacing w:after="100" w:before="280"/>
      </w:pPr>
      <w:r>
        <w:rPr>
          <w:rFonts w:ascii="Arial" w:cs="Arial" w:eastAsia="Arial" w:hAnsi="Arial"/>
        </w:rPr>
        <w:t xml:space="preserve">5.5  Colour as Meaning, Not Decoration</w:t>
      </w:r>
    </w:p>
    <w:p>
      <w:pPr>
        <w:spacing w:after="100" w:before="60"/>
        <w:jc w:val="left"/>
      </w:pPr>
      <w:r>
        <w:rPr>
          <w:rFonts w:ascii="Arial" w:cs="Arial" w:eastAsia="Arial" w:hAnsi="Arial"/>
          <w:b/>
          <w:bCs/>
          <w:color w:val="334155"/>
          <w:sz w:val="22"/>
          <w:szCs w:val="22"/>
        </w:rPr>
        <w:t xml:space="preserve">Teal (#0D9488): </w:t>
      </w:r>
      <w:r>
        <w:rPr>
          <w:rFonts w:ascii="Arial" w:cs="Arial" w:eastAsia="Arial" w:hAnsi="Arial"/>
          <w:color w:val="334155"/>
          <w:sz w:val="22"/>
          <w:szCs w:val="22"/>
        </w:rPr>
        <w:t xml:space="preserve">actions and signal-related elements only.
</w:t>
      </w:r>
    </w:p>
    <w:p>
      <w:pPr>
        <w:spacing w:after="100" w:before="60"/>
        <w:jc w:val="left"/>
      </w:pPr>
      <w:r>
        <w:rPr>
          <w:rFonts w:ascii="Arial" w:cs="Arial" w:eastAsia="Arial" w:hAnsi="Arial"/>
          <w:b/>
          <w:bCs/>
          <w:color w:val="334155"/>
          <w:sz w:val="22"/>
          <w:szCs w:val="22"/>
        </w:rPr>
        <w:t xml:space="preserve">Azure: </w:t>
      </w:r>
      <w:r>
        <w:rPr>
          <w:rFonts w:ascii="Arial" w:cs="Arial" w:eastAsia="Arial" w:hAnsi="Arial"/>
          <w:color w:val="334155"/>
          <w:sz w:val="22"/>
          <w:szCs w:val="22"/>
        </w:rPr>
        <w:t xml:space="preserve">assets, tracks, and ground-truth overlays.
</w:t>
      </w:r>
    </w:p>
    <w:p>
      <w:pPr>
        <w:spacing w:after="100" w:before="60"/>
        <w:jc w:val="left"/>
      </w:pPr>
      <w:r>
        <w:rPr>
          <w:rFonts w:ascii="Arial" w:cs="Arial" w:eastAsia="Arial" w:hAnsi="Arial"/>
          <w:b/>
          <w:bCs/>
          <w:color w:val="334155"/>
          <w:sz w:val="22"/>
          <w:szCs w:val="22"/>
        </w:rPr>
        <w:t xml:space="preserve">Amber: </w:t>
      </w:r>
      <w:r>
        <w:rPr>
          <w:rFonts w:ascii="Arial" w:cs="Arial" w:eastAsia="Arial" w:hAnsi="Arial"/>
          <w:color w:val="334155"/>
          <w:sz w:val="22"/>
          <w:szCs w:val="22"/>
        </w:rPr>
        <w:t xml:space="preserve">events, warnings, and destructive actions.
</w:t>
      </w:r>
    </w:p>
    <w:p>
      <w:pPr>
        <w:spacing w:after="100" w:before="60"/>
        <w:jc w:val="left"/>
      </w:pPr>
      <w:r>
        <w:rPr>
          <w:rFonts w:ascii="Arial" w:cs="Arial" w:eastAsia="Arial" w:hAnsi="Arial"/>
          <w:b/>
          <w:bCs/>
          <w:color w:val="334155"/>
          <w:sz w:val="22"/>
          <w:szCs w:val="22"/>
        </w:rPr>
        <w:t xml:space="preserve">Aqua→Rose spectrum: </w:t>
      </w:r>
      <w:r>
        <w:rPr>
          <w:rFonts w:ascii="Arial" w:cs="Arial" w:eastAsia="Arial" w:hAnsi="Arial"/>
          <w:color w:val="334155"/>
          <w:sz w:val="22"/>
          <w:szCs w:val="22"/>
        </w:rPr>
        <w:t xml:space="preserve">coverage signal scale on the map. No other use.</w:t>
      </w:r>
    </w:p>
    <w:p>
      <w:pPr>
        <w:spacing w:after="60" w:before="0"/>
      </w:pPr>
    </w:p>
    <w:p>
      <w:pPr>
        <w:spacing w:after="100" w:before="60"/>
        <w:jc w:val="left"/>
      </w:pPr>
      <w:r>
        <w:rPr>
          <w:rFonts w:ascii="Arial" w:cs="Arial" w:eastAsia="Arial" w:hAnsi="Arial"/>
          <w:color w:val="334155"/>
          <w:sz w:val="22"/>
          <w:szCs w:val="22"/>
        </w:rPr>
        <w:t xml:space="preserve">Indigo, purple, gradients on text, glow effects, aurora backgrounds, and sparkle icons are explicitly prohibited. These are markers of generic AI-adjacent design and actively harm the operational credibility of the tool.</w:t>
      </w:r>
    </w:p>
    <w:p>
      <w:pPr>
        <w:pStyle w:val="Heading2"/>
        <w:spacing w:after="100" w:before="280"/>
      </w:pPr>
      <w:r>
        <w:rPr>
          <w:rFonts w:ascii="Arial" w:cs="Arial" w:eastAsia="Arial" w:hAnsi="Arial"/>
        </w:rPr>
        <w:t xml:space="preserve">5.6  Density Budget</w:t>
      </w:r>
    </w:p>
    <w:p>
      <w:pPr>
        <w:spacing w:after="100" w:before="60"/>
        <w:jc w:val="left"/>
      </w:pPr>
      <w:r>
        <w:rPr>
          <w:rFonts w:ascii="Arial" w:cs="Arial" w:eastAsia="Arial" w:hAnsi="Arial"/>
          <w:color w:val="334155"/>
          <w:sz w:val="22"/>
          <w:szCs w:val="22"/>
        </w:rPr>
        <w:t xml:space="preserve">Each side panel has a maximum element count: 6 primary controls in User mode, 14 total in Advanced mode (including section headers). Any feature proposal that exceeds this budget must either replace an existing control or be placed in a secondary panel or modal.</w:t>
      </w:r>
    </w:p>
    <w:p>
      <w:r>
        <w:br w:type="page"/>
      </w:r>
    </w:p>
    <w:p>
      <w:pPr>
        <w:pStyle w:val="Heading1"/>
        <w:spacing w:after="100" w:before="280"/>
      </w:pPr>
      <w:r>
        <w:rPr>
          <w:rFonts w:ascii="Arial" w:cs="Arial" w:eastAsia="Arial" w:hAnsi="Arial"/>
        </w:rPr>
        <w:t xml:space="preserve">Appendix: Integration Reference</w:t>
      </w:r>
    </w:p>
    <w:p>
      <w:pPr>
        <w:pBdr>
          <w:bottom w:val="single" w:color="0D9488" w:sz="4" w:space="1"/>
        </w:pBdr>
        <w:spacing w:after="100" w:before="100"/>
      </w:pPr>
    </w:p>
    <w:p>
      <w:pPr>
        <w:spacing w:after="80" w:before="0"/>
      </w:pPr>
    </w:p>
    <w:p>
      <w:pPr>
        <w:pStyle w:val="Heading2"/>
        <w:spacing w:after="100" w:before="280"/>
      </w:pPr>
      <w:r>
        <w:rPr>
          <w:rFonts w:ascii="Arial" w:cs="Arial" w:eastAsia="Arial" w:hAnsi="Arial"/>
        </w:rPr>
        <w:t xml:space="preserve">A.1  CivTAK CoT Data Package Format</w:t>
      </w:r>
    </w:p>
    <w:p>
      <w:pPr>
        <w:spacing w:after="100" w:before="60"/>
        <w:jc w:val="left"/>
      </w:pPr>
      <w:r>
        <w:rPr>
          <w:rFonts w:ascii="Arial" w:cs="Arial" w:eastAsia="Arial" w:hAnsi="Arial"/>
          <w:color w:val="334155"/>
          <w:sz w:val="22"/>
          <w:szCs w:val="22"/>
        </w:rPr>
        <w:t xml:space="preserve">GroundLink M16 generates a CoT data package (.zip) for ingestion into CivTAK and ATAK. The package structure and key XML fields are documented below.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Field / File</w:t>
            </w:r>
          </w:p>
        </w:tc>
        <w:tc>
          <w:tcPr>
            <w:tcW w:type="dxa" w:w="696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 / Value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Package structure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MANIFEST/, data/, .zip archive following ATAK Data Package spec v2.0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MANIFEST/manifest.xml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Lists all included files with MIME types; uid = session UUID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data/*.cot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One CoT event XML file per named location / relay site exported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data/coverage.tif</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GeoTIFF coverage raster (see A.2)</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CoT event type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a-f-G-U-C (friendly ground unit) for sites; a-n-G for neutral/relay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&lt;point&gt; attributes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lat, lon, hae (height above ellipsoid in metres), ce=999, le=999</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&lt;detail&gt;/&lt;contact&gt;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callsign = site name; phone = radio frequency string (optional)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Stale time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72 hours from export timestamp; editable in export settings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Overlay attachment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GeoTIFF attached as &lt;image&gt; link in detail block; rendered natively by CivTAK 4.x+</w:t>
            </w:r>
          </w:p>
        </w:tc>
      </w:tr>
    </w:tbl>
    <w:p>
      <w:pPr>
        <w:spacing w:after="200" w:before="0"/>
      </w:pPr>
    </w:p>
    <w:p>
      <w:pPr>
        <w:pStyle w:val="Heading2"/>
        <w:spacing w:after="100" w:before="280"/>
      </w:pPr>
      <w:r>
        <w:rPr>
          <w:rFonts w:ascii="Arial" w:cs="Arial" w:eastAsia="Arial" w:hAnsi="Arial"/>
        </w:rPr>
        <w:t xml:space="preserve">A.2  GeoTIFF Export Specification</w:t>
      </w:r>
    </w:p>
    <w:p>
      <w:pPr>
        <w:spacing w:after="100" w:before="60"/>
        <w:jc w:val="left"/>
      </w:pPr>
      <w:r>
        <w:rPr>
          <w:rFonts w:ascii="Arial" w:cs="Arial" w:eastAsia="Arial" w:hAnsi="Arial"/>
          <w:color w:val="334155"/>
          <w:sz w:val="22"/>
          <w:szCs w:val="22"/>
        </w:rPr>
        <w:t xml:space="preserve">The GeoTIFF raster exported by GroundLink M16 conforms to the following specification for compatibility with QGIS, GRASS, and TAK overlays.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Parameter</w:t>
            </w:r>
          </w:p>
        </w:tc>
        <w:tc>
          <w:tcPr>
            <w:tcW w:type="dxa" w:w="696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Value / Requirement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EPSG:4326 (WGS 84 geographic)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Pixel values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Signal level in dBm (float32). NoData = -9999.</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Resolution options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30 m / 90 m / 300 m (user-selectable; default 90 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Band count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1 (signal level). Optional Band 2: link margin above threshold (dB).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Colour map</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Embedded colour map: aqua (strong) → rose (weak) matching the app legend. Can be stripped by user.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Metadata tags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GROUNDLINK_VERSION, EXPORT_UTC, FREQUENCY_MHZ, TX_EIRP_DBM, MODEL (FSPL/Deygout/ITM)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File size (90 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Typical AOI 20 × 20 km: ~50 KB (float32, LZW compressed)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QGIS import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Drag-and-drop into QGIS 3.x layer panel; styling from embedded colour map applies automatically.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ATAK import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Attach to CoT data package (see A.1) or import via ATAK Imagery Manager.</w:t>
            </w:r>
          </w:p>
        </w:tc>
      </w:tr>
    </w:tbl>
    <w:p>
      <w:pPr>
        <w:spacing w:after="200" w:before="0"/>
      </w:pPr>
    </w:p>
    <w:p>
      <w:pPr>
        <w:pStyle w:val="Heading2"/>
        <w:spacing w:after="100" w:before="280"/>
      </w:pPr>
      <w:r>
        <w:rPr>
          <w:rFonts w:ascii="Arial" w:cs="Arial" w:eastAsia="Arial" w:hAnsi="Arial"/>
        </w:rPr>
        <w:t xml:space="preserve">A.3  DMR Coverage Threshold Reference</w:t>
      </w:r>
    </w:p>
    <w:p>
      <w:pPr>
        <w:spacing w:after="100" w:before="60"/>
        <w:jc w:val="left"/>
      </w:pPr>
      <w:r>
        <w:rPr>
          <w:rFonts w:ascii="Arial" w:cs="Arial" w:eastAsia="Arial" w:hAnsi="Arial"/>
          <w:color w:val="334155"/>
          <w:sz w:val="22"/>
          <w:szCs w:val="22"/>
        </w:rPr>
        <w:t xml:space="preserve">GroundLink M15 renders two coverage contours for digital modes. The default thresholds below are derived from ETSI TS 102 361 and Motorola Solutions field guidance and should be confirmed against the specific radio's receiver specifications.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Mode</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Reliable Threshold</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Digital Cliff</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Standard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DMR Tier II (direct)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–95 dBm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–112 dBm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MotoTRBO SL3500 reference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ETSI TS 102 361-1</w:t>
            </w:r>
          </w:p>
        </w:tc>
      </w:tr>
      <w:tr>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DMR Tier II (trunked)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–95 dBm</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–112 dBm</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Same as direct; trunking adds ~3 dB system margin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ETSI TS 102 361-4</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DMR Tier III (trunked)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–100 dBm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–115 dBm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Base-station receive; 5 dB improvement from TDM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ETSI TS 102 361-4</w:t>
            </w:r>
          </w:p>
        </w:tc>
      </w:tr>
      <w:tr>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P25 Phase 1 (FDMA)</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–97 dBm</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–112 dBm</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12.5 kHz channel; TIA-102 BER threshold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TIA-102.CAAA</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P25 Phase 2 (TDMA)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–100 dBm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–115 dBm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6.25 kHz equivalent; 3 dB TDMA gain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TIA-102.CAAA-C</w:t>
            </w:r>
          </w:p>
        </w:tc>
      </w:tr>
      <w:tr>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dPMR (ETSI)</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–103 dBm</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–116 dBm</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6.25 kHz FDMA; ETSI TS 102 490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34155"/>
                <w:sz w:val="20"/>
                <w:szCs w:val="20"/>
              </w:rPr>
              <w:t xml:space="preserve">ETSI TS 102 490</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Simulcast guard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N/A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N/A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Flag sites &lt; 1.5 km overlap; delay spread &gt; 15 µs causes BER floor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ETSI EN 300 113</w:t>
            </w:r>
          </w:p>
        </w:tc>
      </w:tr>
    </w:tbl>
    <w:p>
      <w:pPr>
        <w:spacing w:after="120" w:before="0"/>
      </w:pPr>
    </w:p>
    <w:p>
      <w:pPr>
        <w:spacing w:after="100" w:before="60"/>
        <w:jc w:val="left"/>
      </w:pPr>
      <w:r>
        <w:rPr>
          <w:rFonts w:ascii="Arial" w:cs="Arial" w:eastAsia="Arial" w:hAnsi="Arial"/>
          <w:color w:val="64748B"/>
          <w:sz w:val="20"/>
          <w:szCs w:val="20"/>
        </w:rPr>
        <w:t xml:space="preserve">All threshold values are nominal at 12.5 kHz channel spacing, 25 kHz occupied bandwidth, omnidirectional antenna, 1.5 m AGL handheld. Actual thresholds vary by radio model — verify against manufacturer data sheet.</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2"/>
      </w:pBdr>
      <w:tabs>
        <w:tab w:val="right" w:pos="9900"/>
      </w:tabs>
      <w:spacing w:after="0" w:before="80"/>
    </w:pPr>
    <w:r>
      <w:rPr>
        <w:rFonts w:ascii="Arial" w:cs="Arial" w:eastAsia="Arial" w:hAnsi="Arial"/>
        <w:color w:val="94A3B8"/>
        <w:sz w:val="16"/>
        <w:szCs w:val="16"/>
      </w:rPr>
      <w:t xml:space="preserve">Unclassified — Do Not Publish Site Coordinates</w:t>
    </w:r>
    <w:r>
      <w:rPr>
        <w:rFonts w:ascii="Arial" w:cs="Arial" w:eastAsia="Arial" w:hAnsi="Arial"/>
        <w:sz w:val="16"/>
        <w:szCs w:val="16"/>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2"/>
      </w:pBdr>
      <w:tabs>
        <w:tab w:val="right" w:pos="9900"/>
      </w:tabs>
      <w:spacing w:after="80" w:before="0"/>
    </w:pPr>
    <w:r>
      <w:rPr>
        <w:rFonts w:ascii="Arial" w:cs="Arial" w:eastAsia="Arial" w:hAnsi="Arial"/>
        <w:color w:val="64748B"/>
        <w:sz w:val="18"/>
        <w:szCs w:val="18"/>
      </w:rPr>
      <w:t xml:space="preserve">GroundLink Comms Coverage Planner</w:t>
    </w:r>
    <w:r>
      <w:rPr>
        <w:rFonts w:ascii="Arial" w:cs="Arial" w:eastAsia="Arial" w:hAnsi="Arial"/>
        <w:sz w:val="18"/>
        <w:szCs w:val="18"/>
      </w:rPr>
      <w:t xml:space="preserve">	</w:t>
    </w:r>
    <w:r>
      <w:rPr>
        <w:rFonts w:ascii="Arial" w:cs="Arial" w:eastAsia="Arial" w:hAnsi="Arial"/>
        <w:color w:val="64748B"/>
        <w:sz w:val="18"/>
        <w:szCs w:val="18"/>
      </w:rPr>
      <w:t xml:space="preserve">Product Roadmap v3.0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34155"/>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D9488"/>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2026-06-09T17:12:18.780Z</dcterms:created>
  <dcterms:modified xsi:type="dcterms:W3CDTF">2026-06-09T17:12:18.780Z</dcterms:modified>
</cp:coreProperties>
</file>

<file path=docProps/custom.xml><?xml version="1.0" encoding="utf-8"?>
<Properties xmlns="http://schemas.openxmlformats.org/officeDocument/2006/custom-properties" xmlns:vt="http://schemas.openxmlformats.org/officeDocument/2006/docPropsVTypes"/>
</file>