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5FAB" w14:textId="77777777" w:rsidR="006C4496" w:rsidRDefault="00000000">
      <w:pPr>
        <w:spacing w:after="20"/>
      </w:pPr>
      <w:r>
        <w:rPr>
          <w:b/>
          <w:bCs/>
          <w:color w:val="1B2A4A"/>
          <w:sz w:val="40"/>
          <w:szCs w:val="40"/>
        </w:rPr>
        <w:t>Baycrest Morning Meeting</w:t>
      </w:r>
    </w:p>
    <w:p w14:paraId="1361E7E9" w14:textId="2D418EEF" w:rsidR="006C4496" w:rsidRDefault="00000000">
      <w:pPr>
        <w:spacing w:after="20"/>
      </w:pPr>
      <w:r>
        <w:rPr>
          <w:b/>
          <w:bCs/>
          <w:color w:val="2C5FA8"/>
          <w:sz w:val="30"/>
          <w:szCs w:val="30"/>
        </w:rPr>
        <w:t>Fed &amp; Inflation</w:t>
      </w:r>
    </w:p>
    <w:p w14:paraId="2E0A7F62" w14:textId="77777777" w:rsidR="006C4496" w:rsidRDefault="00000000">
      <w:pPr>
        <w:pBdr>
          <w:bottom w:val="single" w:sz="12" w:space="8" w:color="1B2A4A"/>
        </w:pBdr>
        <w:spacing w:after="200"/>
      </w:pPr>
      <w:r>
        <w:rPr>
          <w:i/>
          <w:iCs/>
          <w:color w:val="5A5A5A"/>
        </w:rPr>
        <w:t>Updated July 8, 2026</w:t>
      </w:r>
    </w:p>
    <w:p w14:paraId="63C58CBE" w14:textId="77777777" w:rsidR="006C4496" w:rsidRDefault="00000000">
      <w:pPr>
        <w:shd w:val="clear" w:color="auto" w:fill="1B2A4A"/>
        <w:spacing w:before="320" w:after="160"/>
        <w:ind w:left="100"/>
      </w:pPr>
      <w:r>
        <w:rPr>
          <w:b/>
          <w:bCs/>
          <w:color w:val="FFFFFF"/>
          <w:sz w:val="25"/>
          <w:szCs w:val="25"/>
        </w:rPr>
        <w:t>1</w:t>
      </w:r>
      <w:proofErr w:type="gramStart"/>
      <w:r>
        <w:rPr>
          <w:b/>
          <w:bCs/>
          <w:color w:val="FFFFFF"/>
          <w:sz w:val="25"/>
          <w:szCs w:val="25"/>
        </w:rPr>
        <w:t>.  Key</w:t>
      </w:r>
      <w:proofErr w:type="gramEnd"/>
      <w:r>
        <w:rPr>
          <w:b/>
          <w:bCs/>
          <w:color w:val="FFFFFF"/>
          <w:sz w:val="25"/>
          <w:szCs w:val="25"/>
        </w:rPr>
        <w:t xml:space="preserve"> Economic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0"/>
        <w:gridCol w:w="1738"/>
        <w:gridCol w:w="1738"/>
        <w:gridCol w:w="4404"/>
      </w:tblGrid>
      <w:tr w:rsidR="006C4496" w14:paraId="2AD50832" w14:textId="77777777">
        <w:tblPrEx>
          <w:tblCellMar>
            <w:top w:w="0" w:type="dxa"/>
            <w:bottom w:w="0" w:type="dxa"/>
          </w:tblCellMar>
        </w:tblPrEx>
        <w:trPr>
          <w:tblHeader/>
        </w:trPr>
        <w:tc>
          <w:tcPr>
            <w:tcW w:w="2200" w:type="dxa"/>
            <w:shd w:val="clear" w:color="auto" w:fill="1B2A4A"/>
            <w:tcMar>
              <w:top w:w="90" w:type="dxa"/>
              <w:left w:w="110" w:type="dxa"/>
              <w:bottom w:w="90" w:type="dxa"/>
              <w:right w:w="110" w:type="dxa"/>
            </w:tcMar>
            <w:vAlign w:val="center"/>
          </w:tcPr>
          <w:p w14:paraId="2CB5536E" w14:textId="77777777" w:rsidR="006C4496" w:rsidRDefault="00000000">
            <w:r>
              <w:rPr>
                <w:b/>
                <w:bCs/>
                <w:color w:val="FFFFFF"/>
                <w:sz w:val="19"/>
                <w:szCs w:val="19"/>
              </w:rPr>
              <w:t>Indicator</w:t>
            </w:r>
          </w:p>
        </w:tc>
        <w:tc>
          <w:tcPr>
            <w:tcW w:w="1500" w:type="dxa"/>
            <w:shd w:val="clear" w:color="auto" w:fill="1B2A4A"/>
            <w:tcMar>
              <w:top w:w="90" w:type="dxa"/>
              <w:left w:w="110" w:type="dxa"/>
              <w:bottom w:w="90" w:type="dxa"/>
              <w:right w:w="110" w:type="dxa"/>
            </w:tcMar>
            <w:vAlign w:val="center"/>
          </w:tcPr>
          <w:p w14:paraId="434E66D9" w14:textId="77777777" w:rsidR="006C4496" w:rsidRDefault="00000000">
            <w:pPr>
              <w:jc w:val="center"/>
            </w:pPr>
            <w:r>
              <w:rPr>
                <w:b/>
                <w:bCs/>
                <w:color w:val="FFFFFF"/>
                <w:sz w:val="19"/>
                <w:szCs w:val="19"/>
              </w:rPr>
              <w:t>Current</w:t>
            </w:r>
          </w:p>
        </w:tc>
        <w:tc>
          <w:tcPr>
            <w:tcW w:w="1500" w:type="dxa"/>
            <w:shd w:val="clear" w:color="auto" w:fill="1B2A4A"/>
            <w:tcMar>
              <w:top w:w="90" w:type="dxa"/>
              <w:left w:w="110" w:type="dxa"/>
              <w:bottom w:w="90" w:type="dxa"/>
              <w:right w:w="110" w:type="dxa"/>
            </w:tcMar>
            <w:vAlign w:val="center"/>
          </w:tcPr>
          <w:p w14:paraId="31CC5C0A" w14:textId="77777777" w:rsidR="006C4496" w:rsidRDefault="00000000">
            <w:pPr>
              <w:jc w:val="center"/>
            </w:pPr>
            <w:r>
              <w:rPr>
                <w:b/>
                <w:bCs/>
                <w:color w:val="FFFFFF"/>
                <w:sz w:val="19"/>
                <w:szCs w:val="19"/>
              </w:rPr>
              <w:t>Previous</w:t>
            </w:r>
          </w:p>
        </w:tc>
        <w:tc>
          <w:tcPr>
            <w:tcW w:w="3800" w:type="dxa"/>
            <w:shd w:val="clear" w:color="auto" w:fill="1B2A4A"/>
            <w:tcMar>
              <w:top w:w="90" w:type="dxa"/>
              <w:left w:w="110" w:type="dxa"/>
              <w:bottom w:w="90" w:type="dxa"/>
              <w:right w:w="110" w:type="dxa"/>
            </w:tcMar>
            <w:vAlign w:val="center"/>
          </w:tcPr>
          <w:p w14:paraId="07F3B0DF" w14:textId="77777777" w:rsidR="006C4496" w:rsidRDefault="00000000">
            <w:r>
              <w:rPr>
                <w:b/>
                <w:bCs/>
                <w:color w:val="FFFFFF"/>
                <w:sz w:val="19"/>
                <w:szCs w:val="19"/>
              </w:rPr>
              <w:t>Takeaway</w:t>
            </w:r>
          </w:p>
        </w:tc>
      </w:tr>
      <w:tr w:rsidR="006C4496" w14:paraId="4FA63696"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9A82DF2" w14:textId="77777777" w:rsidR="006C4496" w:rsidRDefault="00000000">
            <w:r>
              <w:rPr>
                <w:b/>
                <w:bCs/>
                <w:color w:val="1B2A4A"/>
                <w:sz w:val="19"/>
                <w:szCs w:val="19"/>
              </w:rPr>
              <w:t>Headline CPI</w:t>
            </w:r>
          </w:p>
        </w:tc>
        <w:tc>
          <w:tcPr>
            <w:tcW w:w="1500" w:type="dxa"/>
            <w:tcBorders>
              <w:top w:val="single" w:sz="2" w:space="0" w:color="C9D3E0"/>
              <w:left w:val="single" w:sz="2" w:space="0" w:color="C9D3E0"/>
              <w:bottom w:val="single" w:sz="2" w:space="0" w:color="C9D3E0"/>
              <w:right w:val="single" w:sz="2" w:space="0" w:color="C9D3E0"/>
            </w:tcBorders>
            <w:shd w:val="clear" w:color="auto" w:fill="FFFFFF"/>
            <w:tcMar>
              <w:top w:w="90" w:type="dxa"/>
              <w:left w:w="110" w:type="dxa"/>
              <w:bottom w:w="90" w:type="dxa"/>
              <w:right w:w="110" w:type="dxa"/>
            </w:tcMar>
            <w:vAlign w:val="center"/>
          </w:tcPr>
          <w:p w14:paraId="53F77734" w14:textId="77777777" w:rsidR="006C4496" w:rsidRDefault="00000000">
            <w:pPr>
              <w:jc w:val="center"/>
            </w:pPr>
            <w:r>
              <w:rPr>
                <w:b/>
                <w:bCs/>
                <w:color w:val="222222"/>
                <w:sz w:val="19"/>
                <w:szCs w:val="19"/>
              </w:rPr>
              <w:t>4.2</w:t>
            </w:r>
            <w:proofErr w:type="gramStart"/>
            <w:r>
              <w:rPr>
                <w:b/>
                <w:bCs/>
                <w:color w:val="222222"/>
                <w:sz w:val="19"/>
                <w:szCs w:val="19"/>
              </w:rPr>
              <w:t xml:space="preserve">%  </w:t>
            </w:r>
            <w:r>
              <w:rPr>
                <w:b/>
                <w:bCs/>
                <w:color w:val="B23A2E"/>
                <w:sz w:val="16"/>
                <w:szCs w:val="16"/>
              </w:rPr>
              <w:t>▲</w:t>
            </w:r>
            <w:proofErr w:type="gramEnd"/>
          </w:p>
        </w:tc>
        <w:tc>
          <w:tcPr>
            <w:tcW w:w="1500" w:type="dxa"/>
            <w:shd w:val="clear" w:color="auto" w:fill="FFFFFF"/>
            <w:tcMar>
              <w:top w:w="90" w:type="dxa"/>
              <w:left w:w="110" w:type="dxa"/>
              <w:bottom w:w="90" w:type="dxa"/>
              <w:right w:w="110" w:type="dxa"/>
            </w:tcMar>
            <w:vAlign w:val="center"/>
          </w:tcPr>
          <w:p w14:paraId="57A4DB02" w14:textId="77777777" w:rsidR="006C4496" w:rsidRDefault="00000000">
            <w:pPr>
              <w:jc w:val="center"/>
            </w:pPr>
            <w:r>
              <w:rPr>
                <w:color w:val="5A5A5A"/>
                <w:sz w:val="19"/>
                <w:szCs w:val="19"/>
              </w:rPr>
              <w:t>3.8%</w:t>
            </w:r>
          </w:p>
        </w:tc>
        <w:tc>
          <w:tcPr>
            <w:tcW w:w="3800" w:type="dxa"/>
            <w:shd w:val="clear" w:color="auto" w:fill="FFFFFF"/>
            <w:tcMar>
              <w:top w:w="90" w:type="dxa"/>
              <w:left w:w="110" w:type="dxa"/>
              <w:bottom w:w="90" w:type="dxa"/>
              <w:right w:w="110" w:type="dxa"/>
            </w:tcMar>
            <w:vAlign w:val="center"/>
          </w:tcPr>
          <w:p w14:paraId="6A72C2C0" w14:textId="77777777" w:rsidR="006C4496" w:rsidRDefault="00000000">
            <w:r>
              <w:rPr>
                <w:color w:val="222222"/>
                <w:sz w:val="18"/>
                <w:szCs w:val="18"/>
              </w:rPr>
              <w:t>Inflation accelerated</w:t>
            </w:r>
          </w:p>
        </w:tc>
      </w:tr>
      <w:tr w:rsidR="006C4496" w14:paraId="4325AE97" w14:textId="77777777">
        <w:tblPrEx>
          <w:tblCellMar>
            <w:top w:w="0" w:type="dxa"/>
            <w:bottom w:w="0" w:type="dxa"/>
          </w:tblCellMar>
        </w:tblPrEx>
        <w:tc>
          <w:tcPr>
            <w:tcW w:w="2200" w:type="dxa"/>
            <w:shd w:val="clear" w:color="auto" w:fill="EAF1FB"/>
            <w:tcMar>
              <w:top w:w="90" w:type="dxa"/>
              <w:left w:w="110" w:type="dxa"/>
              <w:bottom w:w="90" w:type="dxa"/>
              <w:right w:w="110" w:type="dxa"/>
            </w:tcMar>
            <w:vAlign w:val="center"/>
          </w:tcPr>
          <w:p w14:paraId="3688F57B" w14:textId="77777777" w:rsidR="006C4496" w:rsidRDefault="00000000">
            <w:r>
              <w:rPr>
                <w:b/>
                <w:bCs/>
                <w:color w:val="1B2A4A"/>
                <w:sz w:val="19"/>
                <w:szCs w:val="19"/>
              </w:rPr>
              <w:t>Core CPI</w:t>
            </w:r>
          </w:p>
        </w:tc>
        <w:tc>
          <w:tcPr>
            <w:tcW w:w="1500" w:type="dxa"/>
            <w:tcBorders>
              <w:top w:val="single" w:sz="2" w:space="0" w:color="C9D3E0"/>
              <w:left w:val="single" w:sz="2" w:space="0" w:color="C9D3E0"/>
              <w:bottom w:val="single" w:sz="2" w:space="0" w:color="C9D3E0"/>
              <w:right w:val="single" w:sz="2" w:space="0" w:color="C9D3E0"/>
            </w:tcBorders>
            <w:shd w:val="clear" w:color="auto" w:fill="EAF1FB"/>
            <w:tcMar>
              <w:top w:w="90" w:type="dxa"/>
              <w:left w:w="110" w:type="dxa"/>
              <w:bottom w:w="90" w:type="dxa"/>
              <w:right w:w="110" w:type="dxa"/>
            </w:tcMar>
            <w:vAlign w:val="center"/>
          </w:tcPr>
          <w:p w14:paraId="3F3E331F" w14:textId="77777777" w:rsidR="006C4496" w:rsidRDefault="00000000">
            <w:pPr>
              <w:jc w:val="center"/>
            </w:pPr>
            <w:r>
              <w:rPr>
                <w:b/>
                <w:bCs/>
                <w:color w:val="222222"/>
                <w:sz w:val="19"/>
                <w:szCs w:val="19"/>
              </w:rPr>
              <w:t>2.9</w:t>
            </w:r>
            <w:proofErr w:type="gramStart"/>
            <w:r>
              <w:rPr>
                <w:b/>
                <w:bCs/>
                <w:color w:val="222222"/>
                <w:sz w:val="19"/>
                <w:szCs w:val="19"/>
              </w:rPr>
              <w:t xml:space="preserve">%  </w:t>
            </w:r>
            <w:r>
              <w:rPr>
                <w:b/>
                <w:bCs/>
                <w:color w:val="5A5A5A"/>
                <w:sz w:val="16"/>
                <w:szCs w:val="16"/>
              </w:rPr>
              <w:t>—</w:t>
            </w:r>
            <w:proofErr w:type="gramEnd"/>
          </w:p>
        </w:tc>
        <w:tc>
          <w:tcPr>
            <w:tcW w:w="1500" w:type="dxa"/>
            <w:shd w:val="clear" w:color="auto" w:fill="EAF1FB"/>
            <w:tcMar>
              <w:top w:w="90" w:type="dxa"/>
              <w:left w:w="110" w:type="dxa"/>
              <w:bottom w:w="90" w:type="dxa"/>
              <w:right w:w="110" w:type="dxa"/>
            </w:tcMar>
            <w:vAlign w:val="center"/>
          </w:tcPr>
          <w:p w14:paraId="503BF205" w14:textId="77777777" w:rsidR="006C4496" w:rsidRDefault="00000000">
            <w:pPr>
              <w:jc w:val="center"/>
            </w:pPr>
            <w:r>
              <w:rPr>
                <w:color w:val="5A5A5A"/>
                <w:sz w:val="19"/>
                <w:szCs w:val="19"/>
              </w:rPr>
              <w:t>2.9%</w:t>
            </w:r>
          </w:p>
        </w:tc>
        <w:tc>
          <w:tcPr>
            <w:tcW w:w="3800" w:type="dxa"/>
            <w:shd w:val="clear" w:color="auto" w:fill="EAF1FB"/>
            <w:tcMar>
              <w:top w:w="90" w:type="dxa"/>
              <w:left w:w="110" w:type="dxa"/>
              <w:bottom w:w="90" w:type="dxa"/>
              <w:right w:w="110" w:type="dxa"/>
            </w:tcMar>
            <w:vAlign w:val="center"/>
          </w:tcPr>
          <w:p w14:paraId="26C087C7" w14:textId="77777777" w:rsidR="006C4496" w:rsidRDefault="00000000">
            <w:r>
              <w:rPr>
                <w:color w:val="222222"/>
                <w:sz w:val="18"/>
                <w:szCs w:val="18"/>
              </w:rPr>
              <w:t>Underlying inflation stable</w:t>
            </w:r>
          </w:p>
        </w:tc>
      </w:tr>
      <w:tr w:rsidR="006C4496" w14:paraId="1755AC26"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17A7B3C5" w14:textId="77777777" w:rsidR="006C4496" w:rsidRDefault="00000000">
            <w:r>
              <w:rPr>
                <w:b/>
                <w:bCs/>
                <w:color w:val="1B2A4A"/>
                <w:sz w:val="19"/>
                <w:szCs w:val="19"/>
              </w:rPr>
              <w:t>Headline PCE</w:t>
            </w:r>
          </w:p>
        </w:tc>
        <w:tc>
          <w:tcPr>
            <w:tcW w:w="1500" w:type="dxa"/>
            <w:tcBorders>
              <w:top w:val="single" w:sz="2" w:space="0" w:color="C9D3E0"/>
              <w:left w:val="single" w:sz="2" w:space="0" w:color="C9D3E0"/>
              <w:bottom w:val="single" w:sz="2" w:space="0" w:color="C9D3E0"/>
              <w:right w:val="single" w:sz="2" w:space="0" w:color="C9D3E0"/>
            </w:tcBorders>
            <w:shd w:val="clear" w:color="auto" w:fill="FFFFFF"/>
            <w:tcMar>
              <w:top w:w="90" w:type="dxa"/>
              <w:left w:w="110" w:type="dxa"/>
              <w:bottom w:w="90" w:type="dxa"/>
              <w:right w:w="110" w:type="dxa"/>
            </w:tcMar>
            <w:vAlign w:val="center"/>
          </w:tcPr>
          <w:p w14:paraId="17A84909" w14:textId="77777777" w:rsidR="006C4496" w:rsidRDefault="00000000">
            <w:pPr>
              <w:jc w:val="center"/>
            </w:pPr>
            <w:r>
              <w:rPr>
                <w:b/>
                <w:bCs/>
                <w:color w:val="222222"/>
                <w:sz w:val="19"/>
                <w:szCs w:val="19"/>
              </w:rPr>
              <w:t>4.1</w:t>
            </w:r>
            <w:proofErr w:type="gramStart"/>
            <w:r>
              <w:rPr>
                <w:b/>
                <w:bCs/>
                <w:color w:val="222222"/>
                <w:sz w:val="19"/>
                <w:szCs w:val="19"/>
              </w:rPr>
              <w:t xml:space="preserve">%  </w:t>
            </w:r>
            <w:r>
              <w:rPr>
                <w:b/>
                <w:bCs/>
                <w:color w:val="B23A2E"/>
                <w:sz w:val="16"/>
                <w:szCs w:val="16"/>
              </w:rPr>
              <w:t>▲</w:t>
            </w:r>
            <w:proofErr w:type="gramEnd"/>
          </w:p>
        </w:tc>
        <w:tc>
          <w:tcPr>
            <w:tcW w:w="1500" w:type="dxa"/>
            <w:shd w:val="clear" w:color="auto" w:fill="FFFFFF"/>
            <w:tcMar>
              <w:top w:w="90" w:type="dxa"/>
              <w:left w:w="110" w:type="dxa"/>
              <w:bottom w:w="90" w:type="dxa"/>
              <w:right w:w="110" w:type="dxa"/>
            </w:tcMar>
            <w:vAlign w:val="center"/>
          </w:tcPr>
          <w:p w14:paraId="2E06A826" w14:textId="77777777" w:rsidR="006C4496" w:rsidRDefault="00000000">
            <w:pPr>
              <w:jc w:val="center"/>
            </w:pPr>
            <w:r>
              <w:rPr>
                <w:color w:val="5A5A5A"/>
                <w:sz w:val="19"/>
                <w:szCs w:val="19"/>
              </w:rPr>
              <w:t>3.8%</w:t>
            </w:r>
          </w:p>
        </w:tc>
        <w:tc>
          <w:tcPr>
            <w:tcW w:w="3800" w:type="dxa"/>
            <w:shd w:val="clear" w:color="auto" w:fill="FFFFFF"/>
            <w:tcMar>
              <w:top w:w="90" w:type="dxa"/>
              <w:left w:w="110" w:type="dxa"/>
              <w:bottom w:w="90" w:type="dxa"/>
              <w:right w:w="110" w:type="dxa"/>
            </w:tcMar>
            <w:vAlign w:val="center"/>
          </w:tcPr>
          <w:p w14:paraId="506D9764" w14:textId="77777777" w:rsidR="006C4496" w:rsidRDefault="00000000">
            <w:r>
              <w:rPr>
                <w:color w:val="222222"/>
                <w:sz w:val="18"/>
                <w:szCs w:val="18"/>
              </w:rPr>
              <w:t>Fed's preferred gauge remains elevated</w:t>
            </w:r>
          </w:p>
        </w:tc>
      </w:tr>
      <w:tr w:rsidR="006C4496" w14:paraId="49430B15" w14:textId="77777777">
        <w:tblPrEx>
          <w:tblCellMar>
            <w:top w:w="0" w:type="dxa"/>
            <w:bottom w:w="0" w:type="dxa"/>
          </w:tblCellMar>
        </w:tblPrEx>
        <w:tc>
          <w:tcPr>
            <w:tcW w:w="2200" w:type="dxa"/>
            <w:shd w:val="clear" w:color="auto" w:fill="EAF1FB"/>
            <w:tcMar>
              <w:top w:w="90" w:type="dxa"/>
              <w:left w:w="110" w:type="dxa"/>
              <w:bottom w:w="90" w:type="dxa"/>
              <w:right w:w="110" w:type="dxa"/>
            </w:tcMar>
            <w:vAlign w:val="center"/>
          </w:tcPr>
          <w:p w14:paraId="4CB9F8F5" w14:textId="77777777" w:rsidR="006C4496" w:rsidRDefault="00000000">
            <w:r>
              <w:rPr>
                <w:b/>
                <w:bCs/>
                <w:color w:val="1B2A4A"/>
                <w:sz w:val="19"/>
                <w:szCs w:val="19"/>
              </w:rPr>
              <w:t>Core PCE</w:t>
            </w:r>
          </w:p>
        </w:tc>
        <w:tc>
          <w:tcPr>
            <w:tcW w:w="1500" w:type="dxa"/>
            <w:tcBorders>
              <w:top w:val="single" w:sz="2" w:space="0" w:color="C9D3E0"/>
              <w:left w:val="single" w:sz="2" w:space="0" w:color="C9D3E0"/>
              <w:bottom w:val="single" w:sz="2" w:space="0" w:color="C9D3E0"/>
              <w:right w:val="single" w:sz="2" w:space="0" w:color="C9D3E0"/>
            </w:tcBorders>
            <w:shd w:val="clear" w:color="auto" w:fill="EAF1FB"/>
            <w:tcMar>
              <w:top w:w="90" w:type="dxa"/>
              <w:left w:w="110" w:type="dxa"/>
              <w:bottom w:w="90" w:type="dxa"/>
              <w:right w:w="110" w:type="dxa"/>
            </w:tcMar>
            <w:vAlign w:val="center"/>
          </w:tcPr>
          <w:p w14:paraId="1590AFF7" w14:textId="77777777" w:rsidR="006C4496" w:rsidRDefault="00000000">
            <w:pPr>
              <w:jc w:val="center"/>
            </w:pPr>
            <w:r>
              <w:rPr>
                <w:b/>
                <w:bCs/>
                <w:color w:val="222222"/>
                <w:sz w:val="19"/>
                <w:szCs w:val="19"/>
              </w:rPr>
              <w:t>3.4</w:t>
            </w:r>
            <w:proofErr w:type="gramStart"/>
            <w:r>
              <w:rPr>
                <w:b/>
                <w:bCs/>
                <w:color w:val="222222"/>
                <w:sz w:val="19"/>
                <w:szCs w:val="19"/>
              </w:rPr>
              <w:t xml:space="preserve">%  </w:t>
            </w:r>
            <w:r>
              <w:rPr>
                <w:b/>
                <w:bCs/>
                <w:color w:val="B23A2E"/>
                <w:sz w:val="16"/>
                <w:szCs w:val="16"/>
              </w:rPr>
              <w:t>▲</w:t>
            </w:r>
            <w:proofErr w:type="gramEnd"/>
          </w:p>
        </w:tc>
        <w:tc>
          <w:tcPr>
            <w:tcW w:w="1500" w:type="dxa"/>
            <w:shd w:val="clear" w:color="auto" w:fill="EAF1FB"/>
            <w:tcMar>
              <w:top w:w="90" w:type="dxa"/>
              <w:left w:w="110" w:type="dxa"/>
              <w:bottom w:w="90" w:type="dxa"/>
              <w:right w:w="110" w:type="dxa"/>
            </w:tcMar>
            <w:vAlign w:val="center"/>
          </w:tcPr>
          <w:p w14:paraId="6ABB4BDA" w14:textId="77777777" w:rsidR="006C4496" w:rsidRDefault="00000000">
            <w:pPr>
              <w:jc w:val="center"/>
            </w:pPr>
            <w:r>
              <w:rPr>
                <w:color w:val="5A5A5A"/>
                <w:sz w:val="19"/>
                <w:szCs w:val="19"/>
              </w:rPr>
              <w:t>3.3%</w:t>
            </w:r>
          </w:p>
        </w:tc>
        <w:tc>
          <w:tcPr>
            <w:tcW w:w="3800" w:type="dxa"/>
            <w:shd w:val="clear" w:color="auto" w:fill="EAF1FB"/>
            <w:tcMar>
              <w:top w:w="90" w:type="dxa"/>
              <w:left w:w="110" w:type="dxa"/>
              <w:bottom w:w="90" w:type="dxa"/>
              <w:right w:w="110" w:type="dxa"/>
            </w:tcMar>
            <w:vAlign w:val="center"/>
          </w:tcPr>
          <w:p w14:paraId="2E59E215" w14:textId="77777777" w:rsidR="006C4496" w:rsidRDefault="00000000">
            <w:r>
              <w:rPr>
                <w:color w:val="222222"/>
                <w:sz w:val="18"/>
                <w:szCs w:val="18"/>
              </w:rPr>
              <w:t>Sticky inflation</w:t>
            </w:r>
          </w:p>
        </w:tc>
      </w:tr>
      <w:tr w:rsidR="006C4496" w14:paraId="720C7B0F"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2C0CFB19" w14:textId="77777777" w:rsidR="006C4496" w:rsidRDefault="00000000">
            <w:r>
              <w:rPr>
                <w:b/>
                <w:bCs/>
                <w:color w:val="1B2A4A"/>
                <w:sz w:val="19"/>
                <w:szCs w:val="19"/>
              </w:rPr>
              <w:t>Headline PPI</w:t>
            </w:r>
          </w:p>
        </w:tc>
        <w:tc>
          <w:tcPr>
            <w:tcW w:w="1500" w:type="dxa"/>
            <w:tcBorders>
              <w:top w:val="single" w:sz="2" w:space="0" w:color="C9D3E0"/>
              <w:left w:val="single" w:sz="2" w:space="0" w:color="C9D3E0"/>
              <w:bottom w:val="single" w:sz="2" w:space="0" w:color="C9D3E0"/>
              <w:right w:val="single" w:sz="2" w:space="0" w:color="C9D3E0"/>
            </w:tcBorders>
            <w:shd w:val="clear" w:color="auto" w:fill="FFFFFF"/>
            <w:tcMar>
              <w:top w:w="90" w:type="dxa"/>
              <w:left w:w="110" w:type="dxa"/>
              <w:bottom w:w="90" w:type="dxa"/>
              <w:right w:w="110" w:type="dxa"/>
            </w:tcMar>
            <w:vAlign w:val="center"/>
          </w:tcPr>
          <w:p w14:paraId="0909B917" w14:textId="77777777" w:rsidR="006C4496" w:rsidRDefault="00000000">
            <w:pPr>
              <w:jc w:val="center"/>
            </w:pPr>
            <w:r>
              <w:rPr>
                <w:b/>
                <w:bCs/>
                <w:color w:val="222222"/>
                <w:sz w:val="19"/>
                <w:szCs w:val="19"/>
              </w:rPr>
              <w:t>6.4</w:t>
            </w:r>
            <w:proofErr w:type="gramStart"/>
            <w:r>
              <w:rPr>
                <w:b/>
                <w:bCs/>
                <w:color w:val="222222"/>
                <w:sz w:val="19"/>
                <w:szCs w:val="19"/>
              </w:rPr>
              <w:t xml:space="preserve">%  </w:t>
            </w:r>
            <w:r>
              <w:rPr>
                <w:b/>
                <w:bCs/>
                <w:color w:val="5A5A5A"/>
                <w:sz w:val="16"/>
                <w:szCs w:val="16"/>
              </w:rPr>
              <w:t>—</w:t>
            </w:r>
            <w:proofErr w:type="gramEnd"/>
          </w:p>
        </w:tc>
        <w:tc>
          <w:tcPr>
            <w:tcW w:w="1500" w:type="dxa"/>
            <w:shd w:val="clear" w:color="auto" w:fill="FFFFFF"/>
            <w:tcMar>
              <w:top w:w="90" w:type="dxa"/>
              <w:left w:w="110" w:type="dxa"/>
              <w:bottom w:w="90" w:type="dxa"/>
              <w:right w:w="110" w:type="dxa"/>
            </w:tcMar>
            <w:vAlign w:val="center"/>
          </w:tcPr>
          <w:p w14:paraId="550E5403" w14:textId="77777777" w:rsidR="006C4496" w:rsidRDefault="00000000">
            <w:pPr>
              <w:jc w:val="center"/>
            </w:pPr>
            <w:r>
              <w:rPr>
                <w:color w:val="5A5A5A"/>
                <w:sz w:val="19"/>
                <w:szCs w:val="19"/>
              </w:rPr>
              <w:t>—</w:t>
            </w:r>
          </w:p>
        </w:tc>
        <w:tc>
          <w:tcPr>
            <w:tcW w:w="3800" w:type="dxa"/>
            <w:shd w:val="clear" w:color="auto" w:fill="FFFFFF"/>
            <w:tcMar>
              <w:top w:w="90" w:type="dxa"/>
              <w:left w:w="110" w:type="dxa"/>
              <w:bottom w:w="90" w:type="dxa"/>
              <w:right w:w="110" w:type="dxa"/>
            </w:tcMar>
            <w:vAlign w:val="center"/>
          </w:tcPr>
          <w:p w14:paraId="21B9DAD2" w14:textId="77777777" w:rsidR="006C4496" w:rsidRDefault="00000000">
            <w:r>
              <w:rPr>
                <w:color w:val="222222"/>
                <w:sz w:val="18"/>
                <w:szCs w:val="18"/>
              </w:rPr>
              <w:t>Producer costs remain high</w:t>
            </w:r>
          </w:p>
        </w:tc>
      </w:tr>
      <w:tr w:rsidR="006C4496" w14:paraId="1E5F3415" w14:textId="77777777">
        <w:tblPrEx>
          <w:tblCellMar>
            <w:top w:w="0" w:type="dxa"/>
            <w:bottom w:w="0" w:type="dxa"/>
          </w:tblCellMar>
        </w:tblPrEx>
        <w:tc>
          <w:tcPr>
            <w:tcW w:w="2200" w:type="dxa"/>
            <w:shd w:val="clear" w:color="auto" w:fill="EAF1FB"/>
            <w:tcMar>
              <w:top w:w="90" w:type="dxa"/>
              <w:left w:w="110" w:type="dxa"/>
              <w:bottom w:w="90" w:type="dxa"/>
              <w:right w:w="110" w:type="dxa"/>
            </w:tcMar>
            <w:vAlign w:val="center"/>
          </w:tcPr>
          <w:p w14:paraId="63D9E74F" w14:textId="77777777" w:rsidR="006C4496" w:rsidRDefault="00000000">
            <w:r>
              <w:rPr>
                <w:b/>
                <w:bCs/>
                <w:color w:val="1B2A4A"/>
                <w:sz w:val="19"/>
                <w:szCs w:val="19"/>
              </w:rPr>
              <w:t>Core PPI</w:t>
            </w:r>
          </w:p>
        </w:tc>
        <w:tc>
          <w:tcPr>
            <w:tcW w:w="1500" w:type="dxa"/>
            <w:tcBorders>
              <w:top w:val="single" w:sz="2" w:space="0" w:color="C9D3E0"/>
              <w:left w:val="single" w:sz="2" w:space="0" w:color="C9D3E0"/>
              <w:bottom w:val="single" w:sz="2" w:space="0" w:color="C9D3E0"/>
              <w:right w:val="single" w:sz="2" w:space="0" w:color="C9D3E0"/>
            </w:tcBorders>
            <w:shd w:val="clear" w:color="auto" w:fill="EAF1FB"/>
            <w:tcMar>
              <w:top w:w="90" w:type="dxa"/>
              <w:left w:w="110" w:type="dxa"/>
              <w:bottom w:w="90" w:type="dxa"/>
              <w:right w:w="110" w:type="dxa"/>
            </w:tcMar>
            <w:vAlign w:val="center"/>
          </w:tcPr>
          <w:p w14:paraId="398B9B17" w14:textId="77777777" w:rsidR="006C4496" w:rsidRDefault="00000000">
            <w:pPr>
              <w:jc w:val="center"/>
            </w:pPr>
            <w:r>
              <w:rPr>
                <w:b/>
                <w:bCs/>
                <w:color w:val="222222"/>
                <w:sz w:val="19"/>
                <w:szCs w:val="19"/>
              </w:rPr>
              <w:t>5.4</w:t>
            </w:r>
            <w:proofErr w:type="gramStart"/>
            <w:r>
              <w:rPr>
                <w:b/>
                <w:bCs/>
                <w:color w:val="222222"/>
                <w:sz w:val="19"/>
                <w:szCs w:val="19"/>
              </w:rPr>
              <w:t xml:space="preserve">%  </w:t>
            </w:r>
            <w:r>
              <w:rPr>
                <w:b/>
                <w:bCs/>
                <w:color w:val="5A5A5A"/>
                <w:sz w:val="16"/>
                <w:szCs w:val="16"/>
              </w:rPr>
              <w:t>—</w:t>
            </w:r>
            <w:proofErr w:type="gramEnd"/>
          </w:p>
        </w:tc>
        <w:tc>
          <w:tcPr>
            <w:tcW w:w="1500" w:type="dxa"/>
            <w:shd w:val="clear" w:color="auto" w:fill="EAF1FB"/>
            <w:tcMar>
              <w:top w:w="90" w:type="dxa"/>
              <w:left w:w="110" w:type="dxa"/>
              <w:bottom w:w="90" w:type="dxa"/>
              <w:right w:w="110" w:type="dxa"/>
            </w:tcMar>
            <w:vAlign w:val="center"/>
          </w:tcPr>
          <w:p w14:paraId="3BC98F95" w14:textId="77777777" w:rsidR="006C4496" w:rsidRDefault="00000000">
            <w:pPr>
              <w:jc w:val="center"/>
            </w:pPr>
            <w:r>
              <w:rPr>
                <w:color w:val="5A5A5A"/>
                <w:sz w:val="19"/>
                <w:szCs w:val="19"/>
              </w:rPr>
              <w:t>—</w:t>
            </w:r>
          </w:p>
        </w:tc>
        <w:tc>
          <w:tcPr>
            <w:tcW w:w="3800" w:type="dxa"/>
            <w:shd w:val="clear" w:color="auto" w:fill="EAF1FB"/>
            <w:tcMar>
              <w:top w:w="90" w:type="dxa"/>
              <w:left w:w="110" w:type="dxa"/>
              <w:bottom w:w="90" w:type="dxa"/>
              <w:right w:w="110" w:type="dxa"/>
            </w:tcMar>
            <w:vAlign w:val="center"/>
          </w:tcPr>
          <w:p w14:paraId="3E9612E2" w14:textId="77777777" w:rsidR="006C4496" w:rsidRDefault="00000000">
            <w:r>
              <w:rPr>
                <w:color w:val="222222"/>
                <w:sz w:val="18"/>
                <w:szCs w:val="18"/>
              </w:rPr>
              <w:t>Input costs still elevated</w:t>
            </w:r>
          </w:p>
        </w:tc>
      </w:tr>
      <w:tr w:rsidR="006C4496" w14:paraId="20E0A36E"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55DC426" w14:textId="77777777" w:rsidR="006C4496" w:rsidRDefault="00000000">
            <w:r>
              <w:rPr>
                <w:b/>
                <w:bCs/>
                <w:color w:val="1B2A4A"/>
                <w:sz w:val="19"/>
                <w:szCs w:val="19"/>
              </w:rPr>
              <w:t>Fed Funds Rate</w:t>
            </w:r>
          </w:p>
        </w:tc>
        <w:tc>
          <w:tcPr>
            <w:tcW w:w="1500" w:type="dxa"/>
            <w:tcBorders>
              <w:top w:val="single" w:sz="2" w:space="0" w:color="C9D3E0"/>
              <w:left w:val="single" w:sz="2" w:space="0" w:color="C9D3E0"/>
              <w:bottom w:val="single" w:sz="2" w:space="0" w:color="C9D3E0"/>
              <w:right w:val="single" w:sz="2" w:space="0" w:color="C9D3E0"/>
            </w:tcBorders>
            <w:shd w:val="clear" w:color="auto" w:fill="FFFFFF"/>
            <w:tcMar>
              <w:top w:w="90" w:type="dxa"/>
              <w:left w:w="110" w:type="dxa"/>
              <w:bottom w:w="90" w:type="dxa"/>
              <w:right w:w="110" w:type="dxa"/>
            </w:tcMar>
            <w:vAlign w:val="center"/>
          </w:tcPr>
          <w:p w14:paraId="393ABA53" w14:textId="77777777" w:rsidR="006C4496" w:rsidRDefault="00000000">
            <w:pPr>
              <w:jc w:val="center"/>
            </w:pPr>
            <w:r>
              <w:rPr>
                <w:b/>
                <w:bCs/>
                <w:color w:val="222222"/>
                <w:sz w:val="19"/>
                <w:szCs w:val="19"/>
              </w:rPr>
              <w:t>3.50%–3.75</w:t>
            </w:r>
            <w:proofErr w:type="gramStart"/>
            <w:r>
              <w:rPr>
                <w:b/>
                <w:bCs/>
                <w:color w:val="222222"/>
                <w:sz w:val="19"/>
                <w:szCs w:val="19"/>
              </w:rPr>
              <w:t xml:space="preserve">%  </w:t>
            </w:r>
            <w:r>
              <w:rPr>
                <w:b/>
                <w:bCs/>
                <w:color w:val="5A5A5A"/>
                <w:sz w:val="16"/>
                <w:szCs w:val="16"/>
              </w:rPr>
              <w:t>—</w:t>
            </w:r>
            <w:proofErr w:type="gramEnd"/>
          </w:p>
        </w:tc>
        <w:tc>
          <w:tcPr>
            <w:tcW w:w="1500" w:type="dxa"/>
            <w:shd w:val="clear" w:color="auto" w:fill="FFFFFF"/>
            <w:tcMar>
              <w:top w:w="90" w:type="dxa"/>
              <w:left w:w="110" w:type="dxa"/>
              <w:bottom w:w="90" w:type="dxa"/>
              <w:right w:w="110" w:type="dxa"/>
            </w:tcMar>
            <w:vAlign w:val="center"/>
          </w:tcPr>
          <w:p w14:paraId="1D0AD7CC" w14:textId="77777777" w:rsidR="006C4496" w:rsidRDefault="00000000">
            <w:pPr>
              <w:jc w:val="center"/>
            </w:pPr>
            <w:r>
              <w:rPr>
                <w:color w:val="5A5A5A"/>
                <w:sz w:val="19"/>
                <w:szCs w:val="19"/>
              </w:rPr>
              <w:t>Unchanged</w:t>
            </w:r>
          </w:p>
        </w:tc>
        <w:tc>
          <w:tcPr>
            <w:tcW w:w="3800" w:type="dxa"/>
            <w:shd w:val="clear" w:color="auto" w:fill="FFFFFF"/>
            <w:tcMar>
              <w:top w:w="90" w:type="dxa"/>
              <w:left w:w="110" w:type="dxa"/>
              <w:bottom w:w="90" w:type="dxa"/>
              <w:right w:w="110" w:type="dxa"/>
            </w:tcMar>
            <w:vAlign w:val="center"/>
          </w:tcPr>
          <w:p w14:paraId="44057830" w14:textId="77777777" w:rsidR="006C4496" w:rsidRDefault="00000000">
            <w:r>
              <w:rPr>
                <w:color w:val="222222"/>
                <w:sz w:val="18"/>
                <w:szCs w:val="18"/>
              </w:rPr>
              <w:t>Fed remains on hold</w:t>
            </w:r>
          </w:p>
        </w:tc>
      </w:tr>
    </w:tbl>
    <w:p w14:paraId="64EA6C34" w14:textId="77777777" w:rsidR="006C4496" w:rsidRDefault="006C4496">
      <w:pPr>
        <w:spacing w:after="200"/>
      </w:pPr>
    </w:p>
    <w:p w14:paraId="1045FE68" w14:textId="77777777" w:rsidR="006C4496" w:rsidRDefault="00000000">
      <w:pPr>
        <w:shd w:val="clear" w:color="auto" w:fill="1B2A4A"/>
        <w:spacing w:before="320" w:after="160"/>
        <w:ind w:left="100"/>
      </w:pPr>
      <w:r>
        <w:rPr>
          <w:b/>
          <w:bCs/>
          <w:color w:val="FFFFFF"/>
          <w:sz w:val="25"/>
          <w:szCs w:val="25"/>
        </w:rPr>
        <w:t>2</w:t>
      </w:r>
      <w:proofErr w:type="gramStart"/>
      <w:r>
        <w:rPr>
          <w:b/>
          <w:bCs/>
          <w:color w:val="FFFFFF"/>
          <w:sz w:val="25"/>
          <w:szCs w:val="25"/>
        </w:rPr>
        <w:t>.  Why</w:t>
      </w:r>
      <w:proofErr w:type="gramEnd"/>
      <w:r>
        <w:rPr>
          <w:b/>
          <w:bCs/>
          <w:color w:val="FFFFFF"/>
          <w:sz w:val="25"/>
          <w:szCs w:val="25"/>
        </w:rPr>
        <w:t xml:space="preserve"> It Matters</w:t>
      </w:r>
    </w:p>
    <w:p w14:paraId="683D8464" w14:textId="77777777" w:rsidR="006C4496" w:rsidRDefault="00000000">
      <w:pPr>
        <w:pStyle w:val="ListParagraph"/>
        <w:numPr>
          <w:ilvl w:val="0"/>
          <w:numId w:val="1"/>
        </w:numPr>
        <w:spacing w:after="70"/>
      </w:pPr>
      <w:r>
        <w:rPr>
          <w:color w:val="222222"/>
          <w:sz w:val="21"/>
          <w:szCs w:val="21"/>
        </w:rPr>
        <w:t>Inflation remains above the Fed's 2% target.</w:t>
      </w:r>
    </w:p>
    <w:p w14:paraId="1B0CDB67" w14:textId="77777777" w:rsidR="006C4496" w:rsidRDefault="00000000">
      <w:pPr>
        <w:pStyle w:val="ListParagraph"/>
        <w:numPr>
          <w:ilvl w:val="0"/>
          <w:numId w:val="1"/>
        </w:numPr>
        <w:spacing w:after="70"/>
      </w:pPr>
      <w:r>
        <w:rPr>
          <w:color w:val="222222"/>
          <w:sz w:val="21"/>
          <w:szCs w:val="21"/>
        </w:rPr>
        <w:t>Higher inflation reduces the likelihood of near-term rate cuts.</w:t>
      </w:r>
    </w:p>
    <w:p w14:paraId="5749C78C" w14:textId="77777777" w:rsidR="006C4496" w:rsidRDefault="00000000">
      <w:pPr>
        <w:pStyle w:val="ListParagraph"/>
        <w:numPr>
          <w:ilvl w:val="0"/>
          <w:numId w:val="1"/>
        </w:numPr>
        <w:spacing w:after="70"/>
      </w:pPr>
      <w:r>
        <w:rPr>
          <w:color w:val="222222"/>
          <w:sz w:val="21"/>
          <w:szCs w:val="21"/>
        </w:rPr>
        <w:t>Higher rates keep borrowing costs elevated and pressure rate-sensitive sectors.</w:t>
      </w:r>
    </w:p>
    <w:p w14:paraId="44792A7D" w14:textId="77777777" w:rsidR="006C4496" w:rsidRDefault="00000000">
      <w:pPr>
        <w:pStyle w:val="ListParagraph"/>
        <w:numPr>
          <w:ilvl w:val="0"/>
          <w:numId w:val="1"/>
        </w:numPr>
        <w:spacing w:after="70"/>
      </w:pPr>
      <w:r>
        <w:rPr>
          <w:color w:val="222222"/>
          <w:sz w:val="21"/>
          <w:szCs w:val="21"/>
        </w:rPr>
        <w:t>Treasury yields moved higher after the Fed minutes as markets priced in “higher for longer.”</w:t>
      </w:r>
    </w:p>
    <w:p w14:paraId="775FD513" w14:textId="77777777" w:rsidR="006C4496" w:rsidRDefault="00000000">
      <w:pPr>
        <w:shd w:val="clear" w:color="auto" w:fill="1B2A4A"/>
        <w:spacing w:before="320" w:after="160"/>
        <w:ind w:left="100"/>
      </w:pPr>
      <w:r>
        <w:rPr>
          <w:b/>
          <w:bCs/>
          <w:color w:val="FFFFFF"/>
          <w:sz w:val="25"/>
          <w:szCs w:val="25"/>
        </w:rPr>
        <w:t>3</w:t>
      </w:r>
      <w:proofErr w:type="gramStart"/>
      <w:r>
        <w:rPr>
          <w:b/>
          <w:bCs/>
          <w:color w:val="FFFFFF"/>
          <w:sz w:val="25"/>
          <w:szCs w:val="25"/>
        </w:rPr>
        <w:t>.  Why</w:t>
      </w:r>
      <w:proofErr w:type="gramEnd"/>
      <w:r>
        <w:rPr>
          <w:b/>
          <w:bCs/>
          <w:color w:val="FFFFFF"/>
          <w:sz w:val="25"/>
          <w:szCs w:val="25"/>
        </w:rPr>
        <w:t xml:space="preserve"> This Happened</w:t>
      </w:r>
    </w:p>
    <w:p w14:paraId="327E27AC" w14:textId="77777777" w:rsidR="006C4496" w:rsidRDefault="00000000">
      <w:pPr>
        <w:pStyle w:val="ListParagraph"/>
        <w:numPr>
          <w:ilvl w:val="0"/>
          <w:numId w:val="1"/>
        </w:numPr>
        <w:spacing w:after="70"/>
      </w:pPr>
      <w:r>
        <w:rPr>
          <w:color w:val="222222"/>
          <w:sz w:val="21"/>
          <w:szCs w:val="21"/>
        </w:rPr>
        <w:t>Strong consumer spending</w:t>
      </w:r>
    </w:p>
    <w:p w14:paraId="2CC4CF5F" w14:textId="77777777" w:rsidR="006C4496" w:rsidRDefault="00000000">
      <w:pPr>
        <w:pStyle w:val="ListParagraph"/>
        <w:numPr>
          <w:ilvl w:val="0"/>
          <w:numId w:val="1"/>
        </w:numPr>
        <w:spacing w:after="70"/>
      </w:pPr>
      <w:r>
        <w:rPr>
          <w:color w:val="222222"/>
          <w:sz w:val="21"/>
          <w:szCs w:val="21"/>
        </w:rPr>
        <w:t>AI and infrastructure investment keeping demand elevated</w:t>
      </w:r>
    </w:p>
    <w:p w14:paraId="155439D8" w14:textId="77777777" w:rsidR="006C4496" w:rsidRDefault="00000000">
      <w:pPr>
        <w:pStyle w:val="ListParagraph"/>
        <w:numPr>
          <w:ilvl w:val="0"/>
          <w:numId w:val="1"/>
        </w:numPr>
        <w:spacing w:after="70"/>
      </w:pPr>
      <w:r>
        <w:rPr>
          <w:color w:val="222222"/>
          <w:sz w:val="21"/>
          <w:szCs w:val="21"/>
        </w:rPr>
        <w:t>Tariff-related price pressures</w:t>
      </w:r>
    </w:p>
    <w:p w14:paraId="5B3BCE23" w14:textId="77777777" w:rsidR="006C4496" w:rsidRDefault="00000000">
      <w:pPr>
        <w:pStyle w:val="ListParagraph"/>
        <w:numPr>
          <w:ilvl w:val="0"/>
          <w:numId w:val="1"/>
        </w:numPr>
        <w:spacing w:after="70"/>
      </w:pPr>
      <w:r>
        <w:rPr>
          <w:color w:val="222222"/>
          <w:sz w:val="21"/>
          <w:szCs w:val="21"/>
        </w:rPr>
        <w:t>Wage growth and lingering inflation pressures</w:t>
      </w:r>
    </w:p>
    <w:p w14:paraId="205FF72C" w14:textId="77777777" w:rsidR="006C4496" w:rsidRDefault="00000000">
      <w:pPr>
        <w:shd w:val="clear" w:color="auto" w:fill="1B2A4A"/>
        <w:spacing w:before="320" w:after="160"/>
        <w:ind w:left="100"/>
      </w:pPr>
      <w:r>
        <w:rPr>
          <w:b/>
          <w:bCs/>
          <w:color w:val="FFFFFF"/>
          <w:sz w:val="25"/>
          <w:szCs w:val="25"/>
        </w:rPr>
        <w:t>4</w:t>
      </w:r>
      <w:proofErr w:type="gramStart"/>
      <w:r>
        <w:rPr>
          <w:b/>
          <w:bCs/>
          <w:color w:val="FFFFFF"/>
          <w:sz w:val="25"/>
          <w:szCs w:val="25"/>
        </w:rPr>
        <w:t>.  Future</w:t>
      </w:r>
      <w:proofErr w:type="gramEnd"/>
      <w:r>
        <w:rPr>
          <w:b/>
          <w:bCs/>
          <w:color w:val="FFFFFF"/>
          <w:sz w:val="25"/>
          <w:szCs w:val="25"/>
        </w:rPr>
        <w:t xml:space="preserve"> Expectations</w:t>
      </w:r>
    </w:p>
    <w:p w14:paraId="1C9A2063" w14:textId="77777777" w:rsidR="006C4496" w:rsidRDefault="00000000">
      <w:pPr>
        <w:pStyle w:val="ListParagraph"/>
        <w:numPr>
          <w:ilvl w:val="0"/>
          <w:numId w:val="1"/>
        </w:numPr>
        <w:spacing w:after="70"/>
      </w:pPr>
      <w:r>
        <w:rPr>
          <w:color w:val="222222"/>
          <w:sz w:val="21"/>
          <w:szCs w:val="21"/>
        </w:rPr>
        <w:t>July FOMC: most likely outcome is no rate change.</w:t>
      </w:r>
    </w:p>
    <w:p w14:paraId="5FD941CA" w14:textId="77777777" w:rsidR="006C4496" w:rsidRDefault="00000000">
      <w:pPr>
        <w:pStyle w:val="ListParagraph"/>
        <w:numPr>
          <w:ilvl w:val="0"/>
          <w:numId w:val="1"/>
        </w:numPr>
        <w:spacing w:after="70"/>
      </w:pPr>
      <w:r>
        <w:rPr>
          <w:color w:val="222222"/>
          <w:sz w:val="21"/>
          <w:szCs w:val="21"/>
        </w:rPr>
        <w:t>Markets expect rates to stay restrictive until inflation shows sustained improvement.</w:t>
      </w:r>
    </w:p>
    <w:p w14:paraId="2CBDDBB1" w14:textId="77777777" w:rsidR="006C4496" w:rsidRDefault="00000000">
      <w:pPr>
        <w:pStyle w:val="ListParagraph"/>
        <w:numPr>
          <w:ilvl w:val="0"/>
          <w:numId w:val="1"/>
        </w:numPr>
        <w:spacing w:after="70"/>
      </w:pPr>
      <w:r>
        <w:rPr>
          <w:color w:val="222222"/>
          <w:sz w:val="21"/>
          <w:szCs w:val="21"/>
        </w:rPr>
        <w:t>Probability of another hike has increased, but it is not the base case.</w:t>
      </w:r>
    </w:p>
    <w:p w14:paraId="4EC0ED7B" w14:textId="5F826920" w:rsidR="006C4496" w:rsidRDefault="00000000" w:rsidP="00353E01">
      <w:pPr>
        <w:spacing w:after="100"/>
      </w:pPr>
      <w:r>
        <w:rPr>
          <w:b/>
          <w:bCs/>
          <w:color w:val="1B2A4A"/>
          <w:sz w:val="21"/>
          <w:szCs w:val="21"/>
        </w:rPr>
        <w:t xml:space="preserve">Key data to watch:  </w:t>
      </w:r>
      <w:proofErr w:type="gramStart"/>
      <w:r>
        <w:rPr>
          <w:color w:val="222222"/>
          <w:sz w:val="21"/>
          <w:szCs w:val="21"/>
        </w:rPr>
        <w:t>CPI  •</w:t>
      </w:r>
      <w:proofErr w:type="gramEnd"/>
      <w:r>
        <w:rPr>
          <w:color w:val="222222"/>
          <w:sz w:val="21"/>
          <w:szCs w:val="21"/>
        </w:rPr>
        <w:t xml:space="preserve">  </w:t>
      </w:r>
      <w:proofErr w:type="gramStart"/>
      <w:r>
        <w:rPr>
          <w:color w:val="222222"/>
          <w:sz w:val="21"/>
          <w:szCs w:val="21"/>
        </w:rPr>
        <w:t>PCE  •</w:t>
      </w:r>
      <w:proofErr w:type="gramEnd"/>
      <w:r>
        <w:rPr>
          <w:color w:val="222222"/>
          <w:sz w:val="21"/>
          <w:szCs w:val="21"/>
        </w:rPr>
        <w:t xml:space="preserve">  Jobs </w:t>
      </w:r>
      <w:proofErr w:type="gramStart"/>
      <w:r>
        <w:rPr>
          <w:color w:val="222222"/>
          <w:sz w:val="21"/>
          <w:szCs w:val="21"/>
        </w:rPr>
        <w:t>report  •</w:t>
      </w:r>
      <w:proofErr w:type="gramEnd"/>
      <w:r>
        <w:rPr>
          <w:color w:val="222222"/>
          <w:sz w:val="21"/>
          <w:szCs w:val="21"/>
        </w:rPr>
        <w:t xml:space="preserve">  Treasury </w:t>
      </w:r>
      <w:proofErr w:type="gramStart"/>
      <w:r>
        <w:rPr>
          <w:color w:val="222222"/>
          <w:sz w:val="21"/>
          <w:szCs w:val="21"/>
        </w:rPr>
        <w:t>yields  •</w:t>
      </w:r>
      <w:proofErr w:type="gramEnd"/>
      <w:r>
        <w:rPr>
          <w:color w:val="222222"/>
          <w:sz w:val="21"/>
          <w:szCs w:val="21"/>
        </w:rPr>
        <w:t xml:space="preserve">  Fed speakers</w:t>
      </w:r>
    </w:p>
    <w:p w14:paraId="761DC1A6" w14:textId="7A75D4AD" w:rsidR="00353E01" w:rsidRDefault="00353E01" w:rsidP="00353E01">
      <w:pPr>
        <w:shd w:val="clear" w:color="auto" w:fill="1B2A4A"/>
        <w:spacing w:before="320" w:after="160"/>
      </w:pPr>
      <w:r>
        <w:rPr>
          <w:b/>
          <w:bCs/>
          <w:color w:val="FFFFFF"/>
          <w:sz w:val="25"/>
          <w:szCs w:val="25"/>
        </w:rPr>
        <w:t>5</w:t>
      </w:r>
      <w:proofErr w:type="gramStart"/>
      <w:r>
        <w:rPr>
          <w:b/>
          <w:bCs/>
          <w:color w:val="FFFFFF"/>
          <w:sz w:val="25"/>
          <w:szCs w:val="25"/>
        </w:rPr>
        <w:t xml:space="preserve">.  </w:t>
      </w:r>
      <w:r>
        <w:rPr>
          <w:b/>
          <w:bCs/>
          <w:color w:val="FFFFFF"/>
          <w:sz w:val="25"/>
          <w:szCs w:val="25"/>
        </w:rPr>
        <w:t>Script</w:t>
      </w:r>
      <w:proofErr w:type="gramEnd"/>
    </w:p>
    <w:p w14:paraId="3144C58E" w14:textId="77777777" w:rsidR="00353E01" w:rsidRPr="00353E01" w:rsidRDefault="00353E01" w:rsidP="00353E01">
      <w:pPr>
        <w:rPr>
          <w:sz w:val="24"/>
          <w:szCs w:val="24"/>
        </w:rPr>
      </w:pPr>
      <w:r w:rsidRPr="00353E01">
        <w:rPr>
          <w:sz w:val="24"/>
          <w:szCs w:val="24"/>
        </w:rPr>
        <w:t xml:space="preserve">The biggest Fed story this week was the release of the June FOMC minutes, and </w:t>
      </w:r>
      <w:proofErr w:type="gramStart"/>
      <w:r w:rsidRPr="00353E01">
        <w:rPr>
          <w:sz w:val="24"/>
          <w:szCs w:val="24"/>
        </w:rPr>
        <w:t>overall</w:t>
      </w:r>
      <w:proofErr w:type="gramEnd"/>
      <w:r w:rsidRPr="00353E01">
        <w:rPr>
          <w:sz w:val="24"/>
          <w:szCs w:val="24"/>
        </w:rPr>
        <w:t xml:space="preserve"> they were more hawkish than the market expected. The Fed kept rates at 3.50% to 3.75%, but officials made it clear they're still concerned about inflation. They pointed to tariffs, strong consumer demand, and continued AI and infrastructure investment as reasons inflation could stay elevated for longer. A few officials even mentioned that another rate hike could be appropriate if inflation doesn't continue improving.</w:t>
      </w:r>
      <w:r w:rsidRPr="00353E01">
        <w:rPr>
          <w:sz w:val="24"/>
          <w:szCs w:val="24"/>
        </w:rPr>
        <w:br/>
      </w:r>
      <w:r w:rsidRPr="00353E01">
        <w:rPr>
          <w:sz w:val="24"/>
          <w:szCs w:val="24"/>
        </w:rPr>
        <w:lastRenderedPageBreak/>
        <w:br/>
        <w:t>On the inflation side, producer prices remain elevated, with headline PPI at 6.4% and core PPI at 5.4%, showing businesses are still facing higher input costs. Headline CPI is 4.2% and core CPI is 2.9%. The Fed's preferred measure, PCE, came in at 4.1%, while core PCE increased to 3.4%, so underlying inflation is still pretty sticky.</w:t>
      </w:r>
      <w:r w:rsidRPr="00353E01">
        <w:rPr>
          <w:sz w:val="24"/>
          <w:szCs w:val="24"/>
        </w:rPr>
        <w:br/>
      </w:r>
      <w:r w:rsidRPr="00353E01">
        <w:rPr>
          <w:sz w:val="24"/>
          <w:szCs w:val="24"/>
        </w:rPr>
        <w:br/>
        <w:t>Because of that, Treasury yields moved higher, the market has scaled back expectations for near-term rate cuts, and investors are positioning for a higher-for-longer rate environment. Compared to last week, investors are less confident that cuts will happen anytime soon, and the bond market has adjusted accordingly.</w:t>
      </w:r>
    </w:p>
    <w:p w14:paraId="299DA2C0" w14:textId="125A6797" w:rsidR="00353E01" w:rsidRDefault="00353E01" w:rsidP="00353E01">
      <w:pPr>
        <w:spacing w:after="100"/>
      </w:pPr>
    </w:p>
    <w:sectPr w:rsidR="00353E01">
      <w:footerReference w:type="default" r:id="rId7"/>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AD640" w14:textId="77777777" w:rsidR="00793187" w:rsidRDefault="00793187">
      <w:r>
        <w:separator/>
      </w:r>
    </w:p>
  </w:endnote>
  <w:endnote w:type="continuationSeparator" w:id="0">
    <w:p w14:paraId="5CEBFEBF" w14:textId="77777777" w:rsidR="00793187" w:rsidRDefault="00793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E0DB" w14:textId="77777777" w:rsidR="006C4496" w:rsidRDefault="00000000">
    <w:pPr>
      <w:jc w:val="center"/>
    </w:pPr>
    <w:r>
      <w:rPr>
        <w:color w:val="5A5A5A"/>
        <w:sz w:val="16"/>
        <w:szCs w:val="16"/>
      </w:rPr>
      <w:t xml:space="preserve">Baycrest </w:t>
    </w:r>
    <w:proofErr w:type="gramStart"/>
    <w:r>
      <w:rPr>
        <w:color w:val="5A5A5A"/>
        <w:sz w:val="16"/>
        <w:szCs w:val="16"/>
      </w:rPr>
      <w:t>Capital  •</w:t>
    </w:r>
    <w:proofErr w:type="gramEnd"/>
    <w:r>
      <w:rPr>
        <w:color w:val="5A5A5A"/>
        <w:sz w:val="16"/>
        <w:szCs w:val="16"/>
      </w:rPr>
      <w:t xml:space="preserve">  Internal Use </w:t>
    </w:r>
    <w:proofErr w:type="gramStart"/>
    <w:r>
      <w:rPr>
        <w:color w:val="5A5A5A"/>
        <w:sz w:val="16"/>
        <w:szCs w:val="16"/>
      </w:rPr>
      <w:t>Only  •</w:t>
    </w:r>
    <w:proofErr w:type="gramEnd"/>
    <w:r>
      <w:rPr>
        <w:color w:val="5A5A5A"/>
        <w:sz w:val="16"/>
        <w:szCs w:val="16"/>
      </w:rPr>
      <w:t xml:space="preserve">  Page </w:t>
    </w:r>
    <w:r>
      <w:rPr>
        <w:color w:val="5A5A5A"/>
        <w:sz w:val="16"/>
        <w:szCs w:val="16"/>
      </w:rPr>
      <w:fldChar w:fldCharType="begin"/>
    </w:r>
    <w:r>
      <w:rPr>
        <w:color w:val="5A5A5A"/>
        <w:sz w:val="16"/>
        <w:szCs w:val="16"/>
      </w:rPr>
      <w:instrText>PAGE</w:instrText>
    </w:r>
    <w:r>
      <w:rPr>
        <w:color w:val="5A5A5A"/>
        <w:sz w:val="16"/>
        <w:szCs w:val="16"/>
      </w:rPr>
      <w:fldChar w:fldCharType="separate"/>
    </w:r>
    <w:r w:rsidR="00353E01">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E822F" w14:textId="77777777" w:rsidR="00793187" w:rsidRDefault="00793187">
      <w:r>
        <w:separator/>
      </w:r>
    </w:p>
  </w:footnote>
  <w:footnote w:type="continuationSeparator" w:id="0">
    <w:p w14:paraId="20E2A88D" w14:textId="77777777" w:rsidR="00793187" w:rsidRDefault="007931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558A8"/>
    <w:multiLevelType w:val="hybridMultilevel"/>
    <w:tmpl w:val="C1BE10CE"/>
    <w:lvl w:ilvl="0" w:tplc="F35EF800">
      <w:start w:val="1"/>
      <w:numFmt w:val="bullet"/>
      <w:lvlText w:val="●"/>
      <w:lvlJc w:val="left"/>
      <w:pPr>
        <w:ind w:left="720" w:hanging="360"/>
      </w:pPr>
    </w:lvl>
    <w:lvl w:ilvl="1" w:tplc="B2723C1C">
      <w:start w:val="1"/>
      <w:numFmt w:val="bullet"/>
      <w:lvlText w:val="○"/>
      <w:lvlJc w:val="left"/>
      <w:pPr>
        <w:ind w:left="1440" w:hanging="360"/>
      </w:pPr>
    </w:lvl>
    <w:lvl w:ilvl="2" w:tplc="74CE8AD4">
      <w:start w:val="1"/>
      <w:numFmt w:val="bullet"/>
      <w:lvlText w:val="■"/>
      <w:lvlJc w:val="left"/>
      <w:pPr>
        <w:ind w:left="2160" w:hanging="360"/>
      </w:pPr>
    </w:lvl>
    <w:lvl w:ilvl="3" w:tplc="50DA098C">
      <w:start w:val="1"/>
      <w:numFmt w:val="bullet"/>
      <w:lvlText w:val="●"/>
      <w:lvlJc w:val="left"/>
      <w:pPr>
        <w:ind w:left="2880" w:hanging="360"/>
      </w:pPr>
    </w:lvl>
    <w:lvl w:ilvl="4" w:tplc="BB1A5C7A">
      <w:start w:val="1"/>
      <w:numFmt w:val="bullet"/>
      <w:lvlText w:val="○"/>
      <w:lvlJc w:val="left"/>
      <w:pPr>
        <w:ind w:left="3600" w:hanging="360"/>
      </w:pPr>
    </w:lvl>
    <w:lvl w:ilvl="5" w:tplc="2A929EB6">
      <w:start w:val="1"/>
      <w:numFmt w:val="bullet"/>
      <w:lvlText w:val="■"/>
      <w:lvlJc w:val="left"/>
      <w:pPr>
        <w:ind w:left="4320" w:hanging="360"/>
      </w:pPr>
    </w:lvl>
    <w:lvl w:ilvl="6" w:tplc="1DB281C0">
      <w:start w:val="1"/>
      <w:numFmt w:val="bullet"/>
      <w:lvlText w:val="●"/>
      <w:lvlJc w:val="left"/>
      <w:pPr>
        <w:ind w:left="5040" w:hanging="360"/>
      </w:pPr>
    </w:lvl>
    <w:lvl w:ilvl="7" w:tplc="11B219FE">
      <w:start w:val="1"/>
      <w:numFmt w:val="bullet"/>
      <w:lvlText w:val="●"/>
      <w:lvlJc w:val="left"/>
      <w:pPr>
        <w:ind w:left="5760" w:hanging="360"/>
      </w:pPr>
    </w:lvl>
    <w:lvl w:ilvl="8" w:tplc="7B46B468">
      <w:start w:val="1"/>
      <w:numFmt w:val="bullet"/>
      <w:lvlText w:val="●"/>
      <w:lvlJc w:val="left"/>
      <w:pPr>
        <w:ind w:left="6480" w:hanging="360"/>
      </w:pPr>
    </w:lvl>
  </w:abstractNum>
  <w:abstractNum w:abstractNumId="1" w15:restartNumberingAfterBreak="0">
    <w:nsid w:val="5D583CDD"/>
    <w:multiLevelType w:val="hybridMultilevel"/>
    <w:tmpl w:val="3342C30A"/>
    <w:lvl w:ilvl="0" w:tplc="0D7A4F98">
      <w:start w:val="1"/>
      <w:numFmt w:val="bullet"/>
      <w:lvlText w:val="•"/>
      <w:lvlJc w:val="left"/>
      <w:pPr>
        <w:ind w:left="360" w:hanging="260"/>
      </w:pPr>
    </w:lvl>
    <w:lvl w:ilvl="1" w:tplc="D7FEE6EA">
      <w:start w:val="1"/>
      <w:numFmt w:val="bullet"/>
      <w:lvlText w:val="–"/>
      <w:lvlJc w:val="left"/>
      <w:pPr>
        <w:ind w:left="720" w:hanging="260"/>
      </w:pPr>
    </w:lvl>
    <w:lvl w:ilvl="2" w:tplc="654C922C">
      <w:numFmt w:val="decimal"/>
      <w:lvlText w:val=""/>
      <w:lvlJc w:val="left"/>
    </w:lvl>
    <w:lvl w:ilvl="3" w:tplc="4DEAA288">
      <w:numFmt w:val="decimal"/>
      <w:lvlText w:val=""/>
      <w:lvlJc w:val="left"/>
    </w:lvl>
    <w:lvl w:ilvl="4" w:tplc="E95C1D8E">
      <w:numFmt w:val="decimal"/>
      <w:lvlText w:val=""/>
      <w:lvlJc w:val="left"/>
    </w:lvl>
    <w:lvl w:ilvl="5" w:tplc="41D617B6">
      <w:numFmt w:val="decimal"/>
      <w:lvlText w:val=""/>
      <w:lvlJc w:val="left"/>
    </w:lvl>
    <w:lvl w:ilvl="6" w:tplc="20B64C7A">
      <w:numFmt w:val="decimal"/>
      <w:lvlText w:val=""/>
      <w:lvlJc w:val="left"/>
    </w:lvl>
    <w:lvl w:ilvl="7" w:tplc="5ACE18C0">
      <w:numFmt w:val="decimal"/>
      <w:lvlText w:val=""/>
      <w:lvlJc w:val="left"/>
    </w:lvl>
    <w:lvl w:ilvl="8" w:tplc="CE507DBC">
      <w:numFmt w:val="decimal"/>
      <w:lvlText w:val=""/>
      <w:lvlJc w:val="left"/>
    </w:lvl>
  </w:abstractNum>
  <w:num w:numId="1" w16cid:durableId="654334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96"/>
    <w:rsid w:val="00353E01"/>
    <w:rsid w:val="00380FD5"/>
    <w:rsid w:val="006C4496"/>
    <w:rsid w:val="00793187"/>
    <w:rsid w:val="00961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7A86"/>
  <w15:docId w15:val="{C65E5623-BC41-457D-BE8C-D459CED38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Cutrona</cp:lastModifiedBy>
  <cp:revision>2</cp:revision>
  <dcterms:created xsi:type="dcterms:W3CDTF">2026-07-08T22:27:00Z</dcterms:created>
  <dcterms:modified xsi:type="dcterms:W3CDTF">2026-07-08T22:37:00Z</dcterms:modified>
</cp:coreProperties>
</file>