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&amp; Performance Testing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2"/>
        <w:gridCol w:w="5472"/>
        <w:tblGridChange w:id="0">
          <w:tblGrid>
            <w:gridCol w:w="5472"/>
            <w:gridCol w:w="5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Not specified in source document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Scenarios &amp; Results</w:t>
      </w:r>
      <w:r w:rsidDel="00000000" w:rsidR="00000000" w:rsidRPr="00000000">
        <w:rPr>
          <w:rtl w:val="0"/>
        </w:rPr>
      </w:r>
    </w:p>
    <w:tbl>
      <w:tblPr>
        <w:tblStyle w:val="Table2"/>
        <w:tblW w:w="10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"/>
        <w:gridCol w:w="1563"/>
        <w:gridCol w:w="1563"/>
        <w:gridCol w:w="1563"/>
        <w:gridCol w:w="1563"/>
        <w:gridCol w:w="1563"/>
        <w:gridCol w:w="1563"/>
        <w:tblGridChange w:id="0">
          <w:tblGrid>
            <w:gridCol w:w="1563"/>
            <w:gridCol w:w="1563"/>
            <w:gridCol w:w="1563"/>
            <w:gridCol w:w="1563"/>
            <w:gridCol w:w="1563"/>
            <w:gridCol w:w="1563"/>
            <w:gridCol w:w="156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Flow Creation – Standard Laptop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Open ServiceNow → Flow Designer → New → Flow. Set Flow Name to “Standard laptop task”, Application to Global, Run user to System user, then submit.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Flow named “Standard laptop task” is created with the specified properties.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Source documents the configuration steps; no explicit execution result is stated.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 Trigger &amp; Catalog Task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Add a Service Catalog trigger. Add “Create Catalog Task” action. Use Requested Item Record; set short description and description to “Laptop need to Configured”, Assignment group to Hardware, and Approval to Approved. Save and activate.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flow contains the Service Catalog trigger and creates a Catalog Task with the specified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Source documents the configuration and activation steps; no explicit pass/fail result is stated.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Flow Assignment to Standard Laptop Service Catalog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 Maintain Items → Standard Laptop → Process engine. Remove remaining automations and add the “Standard Laptop Task” flow. Save.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Standard Laptop service catalog item uses the created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Source documents the assignment steps; no explicit execution result is stated.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FT-04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 Order &amp; Approval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Open Service Catalog → Hardware → Standard Laptop → Order Now. Open the request number, open Approvers, and approve the request.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Standard Laptop request is placed and the approval can be performed.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Source documents the ordering and approval procedure; no explicit pass/fail result is stated.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FT-05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Catalog Task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Open the Requested Item and scroll to Catalog Tasks. Open the task and inspect the short description and assigned group.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Catalog Task shows the updated short description and assigned group.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Source states that the record is opened to see the updated status, short description, and assigned group; no explicit pass/fail result is stated.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Workflow Efficiency / Manual Overhead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Execute the documented standard laptop ordering workflow and observe whether task creation and assignment are handled by the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Workflow should automate task generation and assignment, reducing manual intervention.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source describes this as the project objective/outcome, but provides no measured performance value.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Timely Configuration Workflow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Place a Standard Laptop request, complete approval, and verify the resulting Catalog Task assigned to Hardware.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Task should be generated and assigned so configuration can proceed promptly.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measured timing or performance result is provided in the source.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End-to-End Procurement 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Run the process from Standard Laptop order through approval and Catalog Task verification.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workflow should complete without the documented manual procurement delays and should produce the expected Catalog Task.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Source provides the workflow and conclusion but no formal performance measurement or pass/fail result.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1291143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1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Note: </w:t>
      </w:r>
      <w:r w:rsidDel="00000000" w:rsidR="00000000" w:rsidRPr="00000000">
        <w:rPr>
          <w:rtl w:val="0"/>
        </w:rPr>
        <w:t xml:space="preserve">The supplied project document describes workflow implementation and verification steps, but does not provide numerical performance measurements or explicit Pass/Fail outcomes. Those fields are therefore marked as not specified rather than inferred.</w:t>
      </w:r>
    </w:p>
    <w:sectPr>
      <w:pgSz w:h="15840" w:w="12240" w:orient="portrait"/>
      <w:pgMar w:bottom="720" w:top="720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nodWF5qQ5viFMPMdRD/XKRhZA==">CgMxLjA4AHIhMU1Wc0ZKd3VPbGJKbDlvYnhfN0ZOS1Y3dk9OdWQ4VjY0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