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Authorization to Act as Agent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Property Records &amp; Municipal Research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contract requirements, and regulations vary significantly by state, county, and municipality. All documents should be reviewed and approved by a licensed attorney in your jurisdiction before execution.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 Whom It May Concern: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 Owner(s) of the subject property, I/we hereby authorize:</w:t>
      </w:r>
    </w:p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Authorized Agent Name: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 act as my/our agent in obtaining property records, assessor information, building permits, and/or related municipal documentation from the appropriate county, city, or municipal offices for the property located at:</w:t>
      </w:r>
    </w:p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Property Address: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City, State, Zip: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Assessor Parcel Number (APN):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SCOPE OF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Obtain Assessor's Building Records from the County Recorder's Office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Request property permit history from the Building &amp; Safety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 public property tax records and assessment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Obtain any other publicly available property documentation as needed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OWNER CERTIFICATION &amp; SIGNATURE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undersigned certifies that they are the legal owner(s) of the above property and authorize the named agent to act on their behalf for the purposes described above.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 (Owner 1):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 (Owner 2):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This authorization is valid for 90 days from the date signed unless revoked in writing.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2026-06-13T22:30:21.136Z</dcterms:created>
  <dcterms:modified xsi:type="dcterms:W3CDTF">2026-06-13T22:30:21.136Z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