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0D1B2A"/>
          <w:sz w:val="36"/>
          <w:szCs w:val="36"/>
        </w:rPr>
        <w:t xml:space="preserve">Building Business Credit</w:t>
      </w:r>
    </w:p>
    <w:p>
      <w:pPr>
        <w:spacing w:after="80" w:before="80"/>
      </w:pPr>
      <w:r>
        <w:rPr>
          <w:rFonts w:ascii="Arial" w:cs="Arial" w:eastAsia="Arial" w:hAnsi="Arial"/>
          <w:sz w:val="22"/>
          <w:szCs w:val="22"/>
        </w:rPr>
        <w:t xml:space="preserve">A practical guide to establishing, building, and leveraging business credit as a real estate investor.</w:t>
      </w:r>
    </w:p>
    <w:p>
      <w:r>
        <w:t xml:space="preserve"/>
      </w:r>
    </w:p>
    <w:p>
      <w:pPr>
        <w:pBdr>
          <w:bottom w:val="single" w:color="C89B3C" w:sz="4" w:space="4"/>
        </w:pBdr>
        <w:spacing w:after="160" w:before="320"/>
      </w:pPr>
      <w:r>
        <w:rPr>
          <w:rFonts w:ascii="Arial" w:cs="Arial" w:eastAsia="Arial" w:hAnsi="Arial"/>
          <w:b/>
          <w:bCs/>
          <w:color w:val="0D1B2A"/>
          <w:sz w:val="28"/>
          <w:szCs w:val="28"/>
        </w:rPr>
        <w:t xml:space="preserve">WHY BUSINESS CREDIT MATTERS</w:t>
      </w:r>
    </w:p>
    <w:p>
      <w:r>
        <w:t xml:space="preserve"/>
      </w:r>
    </w:p>
    <w:p>
      <w:pPr>
        <w:spacing w:after="80" w:before="80"/>
      </w:pPr>
      <w:r>
        <w:rPr>
          <w:rFonts w:ascii="Arial" w:cs="Arial" w:eastAsia="Arial" w:hAnsi="Arial"/>
          <w:sz w:val="22"/>
          <w:szCs w:val="22"/>
        </w:rPr>
        <w:t xml:space="preserve">Business credit is a must-have tool for real estate investors. While private money is your most plentiful source of deal capital, business credit provides essential supplemental leverage. It separates your personal assets from your business liabilities — and it gives you access to capital when you need it fast.</w:t>
      </w:r>
    </w:p>
    <w:p>
      <w:r>
        <w:t xml:space="preserve"/>
      </w:r>
    </w:p>
    <w:p>
      <w:pPr>
        <w:spacing w:after="80" w:before="80"/>
      </w:pPr>
      <w:r>
        <w:rPr>
          <w:rFonts w:ascii="Arial" w:cs="Arial" w:eastAsia="Arial" w:hAnsi="Arial"/>
          <w:sz w:val="22"/>
          <w:szCs w:val="22"/>
        </w:rPr>
        <w:t xml:space="preserve">Think of business credit as your financial resume. Lenders want to see what you've done, how you've managed your obligations, and whether you're a risk worth taking. The sooner you build it, the more doors you open.</w:t>
      </w:r>
    </w:p>
    <w:p>
      <w:r>
        <w:t xml:space="preserve"/>
      </w:r>
    </w:p>
    <w:p>
      <w:pPr>
        <w:pBdr>
          <w:bottom w:val="single" w:color="C89B3C" w:sz="4" w:space="4"/>
        </w:pBdr>
        <w:spacing w:after="160" w:before="320"/>
      </w:pPr>
      <w:r>
        <w:rPr>
          <w:rFonts w:ascii="Arial" w:cs="Arial" w:eastAsia="Arial" w:hAnsi="Arial"/>
          <w:b/>
          <w:bCs/>
          <w:color w:val="0D1B2A"/>
          <w:sz w:val="28"/>
          <w:szCs w:val="28"/>
        </w:rPr>
        <w:t xml:space="preserve">PERSONAL CREDIT vs. BUSINESS CREDIT</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shd w:fill="0D1B2A" w:val="clear"/>
            <w:tcMar>
              <w:top w:type="dxa" w:w="80"/>
              <w:left w:type="dxa" w:w="120"/>
              <w:bottom w:type="dxa" w:w="80"/>
              <w:right w:type="dxa" w:w="120"/>
            </w:tcMar>
          </w:tcPr>
          <w:p>
            <w:r>
              <w:rPr>
                <w:rFonts w:ascii="Arial" w:cs="Arial" w:eastAsia="Arial" w:hAnsi="Arial"/>
                <w:b/>
                <w:bCs/>
                <w:color w:val="FFFFFF"/>
                <w:sz w:val="20"/>
                <w:szCs w:val="20"/>
              </w:rPr>
              <w:t xml:space="preserve">PERSONAL CREDIT INCLUDES</w:t>
            </w:r>
          </w:p>
        </w:tc>
        <w:tc>
          <w:tcPr>
            <w:tcW w:type="dxa" w:w="5040"/>
            <w:shd w:fill="0D1B2A" w:val="clear"/>
            <w:tcMar>
              <w:top w:type="dxa" w:w="80"/>
              <w:left w:type="dxa" w:w="120"/>
              <w:bottom w:type="dxa" w:w="80"/>
              <w:right w:type="dxa" w:w="120"/>
            </w:tcMar>
          </w:tcPr>
          <w:p>
            <w:r>
              <w:rPr>
                <w:rFonts w:ascii="Arial" w:cs="Arial" w:eastAsia="Arial" w:hAnsi="Arial"/>
                <w:b/>
                <w:bCs/>
                <w:color w:val="FFFFFF"/>
                <w:sz w:val="20"/>
                <w:szCs w:val="20"/>
              </w:rPr>
              <w:t xml:space="preserve">BUSINESS CREDIT INCLUDES</w:t>
            </w:r>
          </w:p>
        </w:tc>
      </w:tr>
      <w:tr>
        <w:tc>
          <w:tcPr>
            <w:tcW w:type="dxa" w:w="5040"/>
            <w:shd w:fill="F2F4F6" w:val="clear"/>
            <w:tcMar>
              <w:top w:type="dxa" w:w="60"/>
              <w:left w:type="dxa" w:w="120"/>
              <w:bottom w:type="dxa" w:w="60"/>
              <w:right w:type="dxa" w:w="120"/>
            </w:tcMar>
          </w:tcPr>
          <w:p>
            <w:r>
              <w:rPr>
                <w:rFonts w:ascii="Arial" w:cs="Arial" w:eastAsia="Arial" w:hAnsi="Arial"/>
                <w:sz w:val="20"/>
                <w:szCs w:val="20"/>
              </w:rPr>
              <w:t xml:space="preserve">Identifying Information</w:t>
            </w:r>
          </w:p>
        </w:tc>
        <w:tc>
          <w:tcPr>
            <w:tcW w:type="dxa" w:w="5040"/>
            <w:tcMar>
              <w:top w:type="dxa" w:w="60"/>
              <w:left w:type="dxa" w:w="120"/>
              <w:bottom w:type="dxa" w:w="60"/>
              <w:right w:type="dxa" w:w="120"/>
            </w:tcMar>
          </w:tcPr>
          <w:p>
            <w:r>
              <w:rPr>
                <w:rFonts w:ascii="Arial" w:cs="Arial" w:eastAsia="Arial" w:hAnsi="Arial"/>
                <w:sz w:val="20"/>
                <w:szCs w:val="20"/>
              </w:rPr>
              <w:t xml:space="preserve">Identifying Information</w:t>
            </w:r>
          </w:p>
        </w:tc>
      </w:tr>
      <w:tr>
        <w:tc>
          <w:tcPr>
            <w:tcW w:type="dxa" w:w="5040"/>
            <w:shd w:fill="F2F4F6" w:val="clear"/>
            <w:tcMar>
              <w:top w:type="dxa" w:w="60"/>
              <w:left w:type="dxa" w:w="120"/>
              <w:bottom w:type="dxa" w:w="60"/>
              <w:right w:type="dxa" w:w="120"/>
            </w:tcMar>
          </w:tcPr>
          <w:p>
            <w:r>
              <w:rPr>
                <w:rFonts w:ascii="Arial" w:cs="Arial" w:eastAsia="Arial" w:hAnsi="Arial"/>
                <w:sz w:val="20"/>
                <w:szCs w:val="20"/>
              </w:rPr>
              <w:t xml:space="preserve">Account Information</w:t>
            </w:r>
          </w:p>
        </w:tc>
        <w:tc>
          <w:tcPr>
            <w:tcW w:type="dxa" w:w="5040"/>
            <w:tcMar>
              <w:top w:type="dxa" w:w="60"/>
              <w:left w:type="dxa" w:w="120"/>
              <w:bottom w:type="dxa" w:w="60"/>
              <w:right w:type="dxa" w:w="120"/>
            </w:tcMar>
          </w:tcPr>
          <w:p>
            <w:r>
              <w:rPr>
                <w:rFonts w:ascii="Arial" w:cs="Arial" w:eastAsia="Arial" w:hAnsi="Arial"/>
                <w:sz w:val="20"/>
                <w:szCs w:val="20"/>
              </w:rPr>
              <w:t xml:space="preserve">Payment Information</w:t>
            </w:r>
          </w:p>
        </w:tc>
      </w:tr>
      <w:tr>
        <w:tc>
          <w:tcPr>
            <w:tcW w:type="dxa" w:w="5040"/>
            <w:shd w:fill="F2F4F6" w:val="clear"/>
            <w:tcMar>
              <w:top w:type="dxa" w:w="60"/>
              <w:left w:type="dxa" w:w="120"/>
              <w:bottom w:type="dxa" w:w="60"/>
              <w:right w:type="dxa" w:w="120"/>
            </w:tcMar>
          </w:tcPr>
          <w:p>
            <w:r>
              <w:rPr>
                <w:rFonts w:ascii="Arial" w:cs="Arial" w:eastAsia="Arial" w:hAnsi="Arial"/>
                <w:sz w:val="20"/>
                <w:szCs w:val="20"/>
              </w:rPr>
              <w:t xml:space="preserve">Public Record Information</w:t>
            </w:r>
          </w:p>
        </w:tc>
        <w:tc>
          <w:tcPr>
            <w:tcW w:type="dxa" w:w="5040"/>
            <w:tcMar>
              <w:top w:type="dxa" w:w="60"/>
              <w:left w:type="dxa" w:w="120"/>
              <w:bottom w:type="dxa" w:w="60"/>
              <w:right w:type="dxa" w:w="120"/>
            </w:tcMar>
          </w:tcPr>
          <w:p>
            <w:r>
              <w:rPr>
                <w:rFonts w:ascii="Arial" w:cs="Arial" w:eastAsia="Arial" w:hAnsi="Arial"/>
                <w:sz w:val="20"/>
                <w:szCs w:val="20"/>
              </w:rPr>
              <w:t xml:space="preserve">Public Record Information</w:t>
            </w:r>
          </w:p>
        </w:tc>
      </w:tr>
      <w:tr>
        <w:tc>
          <w:tcPr>
            <w:tcW w:type="dxa" w:w="5040"/>
            <w:shd w:fill="F2F4F6" w:val="clear"/>
            <w:tcMar>
              <w:top w:type="dxa" w:w="60"/>
              <w:left w:type="dxa" w:w="120"/>
              <w:bottom w:type="dxa" w:w="60"/>
              <w:right w:type="dxa" w:w="120"/>
            </w:tcMar>
          </w:tcPr>
          <w:p>
            <w:r>
              <w:rPr>
                <w:rFonts w:ascii="Arial" w:cs="Arial" w:eastAsia="Arial" w:hAnsi="Arial"/>
                <w:sz w:val="20"/>
                <w:szCs w:val="20"/>
              </w:rPr>
              <w:t xml:space="preserve">Inquiries</w:t>
            </w:r>
          </w:p>
        </w:tc>
        <w:tc>
          <w:tcPr>
            <w:tcW w:type="dxa" w:w="5040"/>
            <w:tcMar>
              <w:top w:type="dxa" w:w="60"/>
              <w:left w:type="dxa" w:w="120"/>
              <w:bottom w:type="dxa" w:w="60"/>
              <w:right w:type="dxa" w:w="120"/>
            </w:tcMar>
          </w:tcPr>
          <w:p>
            <w:r>
              <w:rPr>
                <w:rFonts w:ascii="Arial" w:cs="Arial" w:eastAsia="Arial" w:hAnsi="Arial"/>
                <w:sz w:val="20"/>
                <w:szCs w:val="20"/>
              </w:rPr>
              <w:t xml:space="preserve">Inquiries</w:t>
            </w:r>
          </w:p>
        </w:tc>
      </w:tr>
      <w:tr>
        <w:tc>
          <w:tcPr>
            <w:tcW w:type="dxa" w:w="5040"/>
            <w:shd w:fill="F2F4F6" w:val="clear"/>
            <w:tcMar>
              <w:top w:type="dxa" w:w="60"/>
              <w:left w:type="dxa" w:w="120"/>
              <w:bottom w:type="dxa" w:w="60"/>
              <w:right w:type="dxa" w:w="120"/>
            </w:tcMar>
          </w:tcPr>
          <w:p>
            <w:r>
              <w:rPr>
                <w:rFonts w:ascii="Arial" w:cs="Arial" w:eastAsia="Arial" w:hAnsi="Arial"/>
                <w:sz w:val="20"/>
                <w:szCs w:val="20"/>
              </w:rPr>
              <w:t xml:space="preserve">Dispute Instructions</w:t>
            </w:r>
          </w:p>
        </w:tc>
        <w:tc>
          <w:tcPr>
            <w:tcW w:type="dxa" w:w="5040"/>
            <w:tcMar>
              <w:top w:type="dxa" w:w="60"/>
              <w:left w:type="dxa" w:w="120"/>
              <w:bottom w:type="dxa" w:w="60"/>
              <w:right w:type="dxa" w:w="120"/>
            </w:tcMar>
          </w:tcPr>
          <w:p>
            <w:r>
              <w:rPr>
                <w:rFonts w:ascii="Arial" w:cs="Arial" w:eastAsia="Arial" w:hAnsi="Arial"/>
                <w:sz w:val="20"/>
                <w:szCs w:val="20"/>
              </w:rPr>
              <w:t xml:space="preserve">Company Background Information</w:t>
            </w:r>
          </w:p>
        </w:tc>
      </w:tr>
      <w:tr>
        <w:tc>
          <w:tcPr>
            <w:tcW w:type="dxa" w:w="5040"/>
            <w:shd w:fill="F2F4F6" w:val="clear"/>
            <w:tcMar>
              <w:top w:type="dxa" w:w="60"/>
              <w:left w:type="dxa" w:w="120"/>
              <w:bottom w:type="dxa" w:w="60"/>
              <w:right w:type="dxa" w:w="120"/>
            </w:tcMar>
          </w:tcPr>
          <w:p>
            <w:r>
              <w:rPr>
                <w:rFonts w:ascii="Arial" w:cs="Arial" w:eastAsia="Arial" w:hAnsi="Arial"/>
                <w:sz w:val="20"/>
                <w:szCs w:val="20"/>
              </w:rPr>
              <w:t xml:space="preserve"/>
            </w:r>
          </w:p>
        </w:tc>
        <w:tc>
          <w:tcPr>
            <w:tcW w:type="dxa" w:w="5040"/>
            <w:tcMar>
              <w:top w:type="dxa" w:w="60"/>
              <w:left w:type="dxa" w:w="120"/>
              <w:bottom w:type="dxa" w:w="60"/>
              <w:right w:type="dxa" w:w="120"/>
            </w:tcMar>
          </w:tcPr>
          <w:p>
            <w:r>
              <w:rPr>
                <w:rFonts w:ascii="Arial" w:cs="Arial" w:eastAsia="Arial" w:hAnsi="Arial"/>
                <w:sz w:val="20"/>
                <w:szCs w:val="20"/>
              </w:rPr>
              <w:t xml:space="preserve">Business Credit Score</w:t>
            </w:r>
          </w:p>
        </w:tc>
      </w:tr>
    </w:tbl>
    <w:p>
      <w:r>
        <w:t xml:space="preserve"/>
      </w:r>
    </w:p>
    <w:p>
      <w:pPr>
        <w:spacing w:after="80" w:before="80"/>
      </w:pPr>
      <w:r>
        <w:rPr>
          <w:rFonts w:ascii="Arial" w:cs="Arial" w:eastAsia="Arial" w:hAnsi="Arial"/>
          <w:sz w:val="22"/>
          <w:szCs w:val="22"/>
        </w:rPr>
        <w:t xml:space="preserve">Your personal credit score is made up of: Payment History (35%), Outstanding Balances (30%), Length of Credit History (15%), Types of Credit (10%), and Inquiries (10%).</w:t>
      </w:r>
    </w:p>
    <w:p>
      <w:r>
        <w:t xml:space="preserve"/>
      </w:r>
    </w:p>
    <w:p>
      <w:pPr>
        <w:spacing w:after="80" w:before="80"/>
      </w:pPr>
      <w:r>
        <w:rPr>
          <w:rFonts w:ascii="Arial" w:cs="Arial" w:eastAsia="Arial" w:hAnsi="Arial"/>
          <w:sz w:val="22"/>
          <w:szCs w:val="22"/>
        </w:rPr>
        <w:t xml:space="preserve">Common credit killers: bankruptcies, short sales, judgments, foreclosures, collections, and late payments. Delinquencies stay on your personal report for 7 years. Inquiries for 2 years.</w:t>
      </w:r>
    </w:p>
    <w:p>
      <w:r>
        <w:t xml:space="preserve"/>
      </w:r>
    </w:p>
    <w:p>
      <w:pPr>
        <w:pBdr>
          <w:bottom w:val="single" w:color="C89B3C" w:sz="4" w:space="4"/>
        </w:pBdr>
        <w:spacing w:after="160" w:before="320"/>
      </w:pPr>
      <w:r>
        <w:rPr>
          <w:rFonts w:ascii="Arial" w:cs="Arial" w:eastAsia="Arial" w:hAnsi="Arial"/>
          <w:b/>
          <w:bCs/>
          <w:color w:val="0D1B2A"/>
          <w:sz w:val="28"/>
          <w:szCs w:val="28"/>
        </w:rPr>
        <w:t xml:space="preserve">THE VALUE OF GOOD BUSINESS CREDIT — 10 BENEFITS</w:t>
      </w:r>
    </w:p>
    <w:p>
      <w:r>
        <w:t xml:space="preserve"/>
      </w:r>
    </w:p>
    <w:p>
      <w:pPr>
        <w:pStyle w:val="ListParagraph"/>
        <w:numPr>
          <w:ilvl w:val="0"/>
          <w:numId w:val="2"/>
        </w:numPr>
        <w:spacing w:after="60" w:before="60"/>
      </w:pPr>
      <w:r>
        <w:rPr>
          <w:rFonts w:ascii="Arial" w:cs="Arial" w:eastAsia="Arial" w:hAnsi="Arial"/>
          <w:sz w:val="22"/>
          <w:szCs w:val="22"/>
        </w:rPr>
        <w:t xml:space="preserve">Increase Loan Approval — A strong business credit history dramatically improves your approval odds.</w:t>
      </w:r>
    </w:p>
    <w:p>
      <w:pPr>
        <w:pStyle w:val="ListParagraph"/>
        <w:numPr>
          <w:ilvl w:val="0"/>
          <w:numId w:val="2"/>
        </w:numPr>
        <w:spacing w:after="60" w:before="60"/>
      </w:pPr>
      <w:r>
        <w:rPr>
          <w:rFonts w:ascii="Arial" w:cs="Arial" w:eastAsia="Arial" w:hAnsi="Arial"/>
          <w:sz w:val="22"/>
          <w:szCs w:val="22"/>
        </w:rPr>
        <w:t xml:space="preserve">Better Approval Terms — Good credit means lower rates and better conditions.</w:t>
      </w:r>
    </w:p>
    <w:p>
      <w:pPr>
        <w:pStyle w:val="ListParagraph"/>
        <w:numPr>
          <w:ilvl w:val="0"/>
          <w:numId w:val="2"/>
        </w:numPr>
        <w:spacing w:after="60" w:before="60"/>
      </w:pPr>
      <w:r>
        <w:rPr>
          <w:rFonts w:ascii="Arial" w:cs="Arial" w:eastAsia="Arial" w:hAnsi="Arial"/>
          <w:sz w:val="22"/>
          <w:szCs w:val="22"/>
        </w:rPr>
        <w:t xml:space="preserve">Lower Interest Rates — Reduce borrowing costs and improve deal ROI.</w:t>
      </w:r>
    </w:p>
    <w:p>
      <w:pPr>
        <w:pStyle w:val="ListParagraph"/>
        <w:numPr>
          <w:ilvl w:val="0"/>
          <w:numId w:val="2"/>
        </w:numPr>
        <w:spacing w:after="60" w:before="60"/>
      </w:pPr>
      <w:r>
        <w:rPr>
          <w:rFonts w:ascii="Arial" w:cs="Arial" w:eastAsia="Arial" w:hAnsi="Arial"/>
          <w:sz w:val="22"/>
          <w:szCs w:val="22"/>
        </w:rPr>
        <w:t xml:space="preserve">Steady Cash Resource — Paying on time solidifies your profile and increases working capital.</w:t>
      </w:r>
    </w:p>
    <w:p>
      <w:pPr>
        <w:pStyle w:val="ListParagraph"/>
        <w:numPr>
          <w:ilvl w:val="0"/>
          <w:numId w:val="2"/>
        </w:numPr>
        <w:spacing w:after="60" w:before="60"/>
      </w:pPr>
      <w:r>
        <w:rPr>
          <w:rFonts w:ascii="Arial" w:cs="Arial" w:eastAsia="Arial" w:hAnsi="Arial"/>
          <w:sz w:val="22"/>
          <w:szCs w:val="22"/>
        </w:rPr>
        <w:t xml:space="preserve">Separates Personal Assets — Protects your home, car, and savings from business liabilities.</w:t>
      </w:r>
    </w:p>
    <w:p>
      <w:pPr>
        <w:pStyle w:val="ListParagraph"/>
        <w:numPr>
          <w:ilvl w:val="0"/>
          <w:numId w:val="2"/>
        </w:numPr>
        <w:spacing w:after="60" w:before="60"/>
      </w:pPr>
      <w:r>
        <w:rPr>
          <w:rFonts w:ascii="Arial" w:cs="Arial" w:eastAsia="Arial" w:hAnsi="Arial"/>
          <w:sz w:val="22"/>
          <w:szCs w:val="22"/>
        </w:rPr>
        <w:t xml:space="preserve">Protects Personal Credit — Stop using personal credit for business. Build a separate profile.</w:t>
      </w:r>
    </w:p>
    <w:p>
      <w:pPr>
        <w:pStyle w:val="ListParagraph"/>
        <w:numPr>
          <w:ilvl w:val="0"/>
          <w:numId w:val="2"/>
        </w:numPr>
        <w:spacing w:after="60" w:before="60"/>
      </w:pPr>
      <w:r>
        <w:rPr>
          <w:rFonts w:ascii="Arial" w:cs="Arial" w:eastAsia="Arial" w:hAnsi="Arial"/>
          <w:sz w:val="22"/>
          <w:szCs w:val="22"/>
        </w:rPr>
        <w:t xml:space="preserve">Capital for Expansion — Fund equipment, acquisitions, and team growth without personal risk.</w:t>
      </w:r>
    </w:p>
    <w:p>
      <w:pPr>
        <w:pStyle w:val="ListParagraph"/>
        <w:numPr>
          <w:ilvl w:val="0"/>
          <w:numId w:val="2"/>
        </w:numPr>
        <w:spacing w:after="60" w:before="60"/>
      </w:pPr>
      <w:r>
        <w:rPr>
          <w:rFonts w:ascii="Arial" w:cs="Arial" w:eastAsia="Arial" w:hAnsi="Arial"/>
          <w:sz w:val="22"/>
          <w:szCs w:val="22"/>
        </w:rPr>
        <w:t xml:space="preserve">Rainy Day Fund — Business credit provides a cushion when unexpected costs arise.</w:t>
      </w:r>
    </w:p>
    <w:p>
      <w:pPr>
        <w:pStyle w:val="ListParagraph"/>
        <w:numPr>
          <w:ilvl w:val="0"/>
          <w:numId w:val="2"/>
        </w:numPr>
        <w:spacing w:after="60" w:before="60"/>
      </w:pPr>
      <w:r>
        <w:rPr>
          <w:rFonts w:ascii="Arial" w:cs="Arial" w:eastAsia="Arial" w:hAnsi="Arial"/>
          <w:sz w:val="22"/>
          <w:szCs w:val="22"/>
        </w:rPr>
        <w:t xml:space="preserve">Large Credit Capacity — Businesses have 10–100x greater credit capacity than individuals.</w:t>
      </w:r>
    </w:p>
    <w:p>
      <w:pPr>
        <w:pStyle w:val="ListParagraph"/>
        <w:numPr>
          <w:ilvl w:val="0"/>
          <w:numId w:val="2"/>
        </w:numPr>
        <w:spacing w:after="60" w:before="60"/>
      </w:pPr>
      <w:r>
        <w:rPr>
          <w:rFonts w:ascii="Arial" w:cs="Arial" w:eastAsia="Arial" w:hAnsi="Arial"/>
          <w:sz w:val="22"/>
          <w:szCs w:val="22"/>
        </w:rPr>
        <w:t xml:space="preserve">Increase Company Value — A creditworthy business is worth more and easier to sell or partner.</w:t>
      </w:r>
    </w:p>
    <w:p>
      <w:r>
        <w:t xml:space="preserve"/>
      </w:r>
    </w:p>
    <w:p>
      <w:pPr>
        <w:pBdr>
          <w:bottom w:val="single" w:color="C89B3C" w:sz="4" w:space="4"/>
        </w:pBdr>
        <w:spacing w:after="160" w:before="320"/>
      </w:pPr>
      <w:r>
        <w:rPr>
          <w:rFonts w:ascii="Arial" w:cs="Arial" w:eastAsia="Arial" w:hAnsi="Arial"/>
          <w:b/>
          <w:bCs/>
          <w:color w:val="0D1B2A"/>
          <w:sz w:val="28"/>
          <w:szCs w:val="28"/>
        </w:rPr>
        <w:t xml:space="preserve">FOUR STEPS TO ESTABLISHING BUSINESS CREDIT</w:t>
      </w:r>
    </w:p>
    <w:p>
      <w:r>
        <w:t xml:space="preserve"/>
      </w:r>
    </w:p>
    <w:p>
      <w:pPr>
        <w:spacing w:after="100" w:before="240"/>
      </w:pPr>
      <w:r>
        <w:rPr>
          <w:rFonts w:ascii="Arial" w:cs="Arial" w:eastAsia="Arial" w:hAnsi="Arial"/>
          <w:b/>
          <w:bCs/>
          <w:color w:val="0D1B2A"/>
          <w:sz w:val="24"/>
          <w:szCs w:val="24"/>
        </w:rPr>
        <w:t xml:space="preserve">Step 1: Compliance</w:t>
      </w:r>
    </w:p>
    <w:p>
      <w:pPr>
        <w:spacing w:after="80" w:before="80"/>
      </w:pPr>
      <w:r>
        <w:rPr>
          <w:rFonts w:ascii="Arial" w:cs="Arial" w:eastAsia="Arial" w:hAnsi="Arial"/>
          <w:sz w:val="22"/>
          <w:szCs w:val="22"/>
        </w:rPr>
        <w:t xml:space="preserve">You must have these three things before credit bureaus will track you:</w:t>
      </w:r>
    </w:p>
    <w:p>
      <w:pPr>
        <w:pStyle w:val="ListParagraph"/>
        <w:numPr>
          <w:ilvl w:val="0"/>
          <w:numId w:val="3"/>
        </w:numPr>
        <w:spacing w:after="60" w:before="60"/>
      </w:pPr>
      <w:r>
        <w:rPr>
          <w:rFonts w:ascii="Arial" w:cs="Arial" w:eastAsia="Arial" w:hAnsi="Arial"/>
          <w:sz w:val="22"/>
          <w:szCs w:val="22"/>
        </w:rPr>
        <w:t xml:space="preserve">Physical Business Address — No P.O. Boxes, virtual offices, or mail forwarding services.</w:t>
      </w:r>
    </w:p>
    <w:p>
      <w:pPr>
        <w:pStyle w:val="ListParagraph"/>
        <w:numPr>
          <w:ilvl w:val="0"/>
          <w:numId w:val="3"/>
        </w:numPr>
        <w:spacing w:after="60" w:before="60"/>
      </w:pPr>
      <w:r>
        <w:rPr>
          <w:rFonts w:ascii="Arial" w:cs="Arial" w:eastAsia="Arial" w:hAnsi="Arial"/>
          <w:sz w:val="22"/>
          <w:szCs w:val="22"/>
        </w:rPr>
        <w:t xml:space="preserve">Business Phone Number — Separate from personal, listed with directory assistance, answered in the business name during business hours.</w:t>
      </w:r>
    </w:p>
    <w:p>
      <w:pPr>
        <w:pStyle w:val="ListParagraph"/>
        <w:numPr>
          <w:ilvl w:val="0"/>
          <w:numId w:val="3"/>
        </w:numPr>
        <w:spacing w:after="60" w:before="60"/>
      </w:pPr>
      <w:r>
        <w:rPr>
          <w:rFonts w:ascii="Arial" w:cs="Arial" w:eastAsia="Arial" w:hAnsi="Arial"/>
          <w:sz w:val="22"/>
          <w:szCs w:val="22"/>
        </w:rPr>
        <w:t xml:space="preserve">Entity Record Book — If incorporated in a different state than where you operate, foreign-file in your operating state. Obtain a Certificate of Good Standing.</w:t>
      </w:r>
    </w:p>
    <w:p>
      <w:r>
        <w:t xml:space="preserve"/>
      </w:r>
    </w:p>
    <w:p>
      <w:pPr>
        <w:spacing w:after="100" w:before="240"/>
      </w:pPr>
      <w:r>
        <w:rPr>
          <w:rFonts w:ascii="Arial" w:cs="Arial" w:eastAsia="Arial" w:hAnsi="Arial"/>
          <w:b/>
          <w:bCs/>
          <w:color w:val="0D1B2A"/>
          <w:sz w:val="24"/>
          <w:szCs w:val="24"/>
        </w:rPr>
        <w:t xml:space="preserve">Step 2: Registration</w:t>
      </w:r>
    </w:p>
    <w:p>
      <w:pPr>
        <w:spacing w:after="80" w:before="80"/>
      </w:pPr>
      <w:r>
        <w:rPr>
          <w:rFonts w:ascii="Arial" w:cs="Arial" w:eastAsia="Arial" w:hAnsi="Arial"/>
          <w:sz w:val="22"/>
          <w:szCs w:val="22"/>
        </w:rPr>
        <w:t xml:space="preserve">Register your business to be tracked by the credit bureaus. You need: your business name, physical address, and EIN (Employer Identification Number) from the IRS. Apply at IRS.gov. Your EIN is your business's Social Security number.</w:t>
      </w:r>
    </w:p>
    <w:p>
      <w:r>
        <w:t xml:space="preserve"/>
      </w:r>
    </w:p>
    <w:p>
      <w:pPr>
        <w:spacing w:after="80" w:before="80"/>
      </w:pPr>
      <w:r>
        <w:rPr>
          <w:rFonts w:ascii="Arial" w:cs="Arial" w:eastAsia="Arial" w:hAnsi="Arial"/>
          <w:sz w:val="22"/>
          <w:szCs w:val="22"/>
        </w:rPr>
        <w:t xml:space="preserve">The major business credit bureaus: Dun &amp; Bradstreet, Experian Business, Equifax Business, Business Credit USA.</w:t>
      </w:r>
    </w:p>
    <w:p>
      <w:r>
        <w:t xml:space="preserve"/>
      </w:r>
    </w:p>
    <w:p>
      <w:pPr>
        <w:spacing w:after="80" w:before="80"/>
      </w:pPr>
      <w:r>
        <w:rPr>
          <w:rFonts w:ascii="Arial" w:cs="Arial" w:eastAsia="Arial" w:hAnsi="Arial"/>
          <w:sz w:val="22"/>
          <w:szCs w:val="22"/>
        </w:rPr>
        <w:t xml:space="preserve">Key D&amp;B metric: The Paydex Score (0–100). Target: 75+. Score above 80 requires consistent on-time payments and multiple years in business. Monitor at mycredit.dnb.com.</w:t>
      </w:r>
    </w:p>
    <w:p>
      <w:r>
        <w:t xml:space="preserve"/>
      </w:r>
    </w:p>
    <w:p>
      <w:pPr>
        <w:spacing w:after="100" w:before="240"/>
      </w:pPr>
      <w:r>
        <w:rPr>
          <w:rFonts w:ascii="Arial" w:cs="Arial" w:eastAsia="Arial" w:hAnsi="Arial"/>
          <w:b/>
          <w:bCs/>
          <w:color w:val="0D1B2A"/>
          <w:sz w:val="24"/>
          <w:szCs w:val="24"/>
        </w:rPr>
        <w:t xml:space="preserve">Step 3: Acquisition — The Four Tiers</w:t>
      </w:r>
    </w:p>
    <w:p>
      <w:pPr>
        <w:spacing w:after="80" w:before="80"/>
      </w:pPr>
      <w:r>
        <w:rPr>
          <w:rFonts w:ascii="Arial" w:cs="Arial" w:eastAsia="Arial" w:hAnsi="Arial"/>
          <w:sz w:val="22"/>
          <w:szCs w:val="22"/>
        </w:rPr>
        <w:t xml:space="preserve">Build business credit in tiers. Each tier requires you to establish the previous before advancing.</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4200"/>
        <w:gridCol w:w="4200"/>
      </w:tblGrid>
      <w:tr>
        <w:tc>
          <w:tcPr>
            <w:tcW w:type="dxa" w:w="1680"/>
            <w:shd w:fill="0D1B2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4200"/>
            <w:shd w:fill="0D1B2A" w:val="clear"/>
            <w:tcMar>
              <w:top w:type="dxa" w:w="80"/>
              <w:left w:type="dxa" w:w="120"/>
              <w:bottom w:type="dxa" w:w="80"/>
              <w:right w:type="dxa" w:w="120"/>
            </w:tcMar>
          </w:tcPr>
          <w:p>
            <w:r>
              <w:rPr>
                <w:rFonts w:ascii="Arial" w:cs="Arial" w:eastAsia="Arial" w:hAnsi="Arial"/>
                <w:b/>
                <w:bCs/>
                <w:color w:val="FFFFFF"/>
                <w:sz w:val="20"/>
                <w:szCs w:val="20"/>
              </w:rPr>
              <w:t xml:space="preserve">REQUIREMENTS</w:t>
            </w:r>
          </w:p>
        </w:tc>
        <w:tc>
          <w:tcPr>
            <w:tcW w:type="dxa" w:w="4200"/>
            <w:shd w:fill="0D1B2A"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1680"/>
            <w:shd w:fill="F2F4F6" w:val="clear"/>
            <w:tcMar>
              <w:top w:type="dxa" w:w="60"/>
              <w:left w:type="dxa" w:w="120"/>
              <w:bottom w:type="dxa" w:w="60"/>
              <w:right w:type="dxa" w:w="120"/>
            </w:tcMar>
          </w:tcPr>
          <w:p>
            <w:r>
              <w:rPr>
                <w:rFonts w:ascii="Arial" w:cs="Arial" w:eastAsia="Arial" w:hAnsi="Arial"/>
                <w:b/>
                <w:bCs/>
                <w:color w:val="0D1B2A"/>
                <w:sz w:val="20"/>
                <w:szCs w:val="20"/>
              </w:rPr>
              <w:t xml:space="preserve">Tier 1</w:t>
            </w:r>
          </w:p>
        </w:tc>
        <w:tc>
          <w:tcPr>
            <w:tcW w:type="dxa" w:w="4200"/>
            <w:tcMar>
              <w:top w:type="dxa" w:w="60"/>
              <w:left w:type="dxa" w:w="120"/>
              <w:bottom w:type="dxa" w:w="60"/>
              <w:right w:type="dxa" w:w="120"/>
            </w:tcMar>
          </w:tcPr>
          <w:p>
            <w:r>
              <w:rPr>
                <w:rFonts w:ascii="Arial" w:cs="Arial" w:eastAsia="Arial" w:hAnsi="Arial"/>
                <w:sz w:val="20"/>
                <w:szCs w:val="20"/>
              </w:rPr>
              <w:t xml:space="preserve">Any operating business. No credit history required. Net 30 accounts.</w:t>
            </w:r>
          </w:p>
        </w:tc>
        <w:tc>
          <w:tcPr>
            <w:tcW w:type="dxa" w:w="4200"/>
            <w:tcMar>
              <w:top w:type="dxa" w:w="60"/>
              <w:left w:type="dxa" w:w="120"/>
              <w:bottom w:type="dxa" w:w="60"/>
              <w:right w:type="dxa" w:w="120"/>
            </w:tcMar>
          </w:tcPr>
          <w:p>
            <w:r>
              <w:rPr>
                <w:rFonts w:ascii="Arial" w:cs="Arial" w:eastAsia="Arial" w:hAnsi="Arial"/>
                <w:sz w:val="20"/>
                <w:szCs w:val="20"/>
              </w:rPr>
              <w:t xml:space="preserve">FedEx, HD Supply, Seton</w:t>
            </w:r>
          </w:p>
        </w:tc>
      </w:tr>
      <w:tr>
        <w:tc>
          <w:tcPr>
            <w:tcW w:type="dxa" w:w="1680"/>
            <w:shd w:fill="F2F4F6" w:val="clear"/>
            <w:tcMar>
              <w:top w:type="dxa" w:w="60"/>
              <w:left w:type="dxa" w:w="120"/>
              <w:bottom w:type="dxa" w:w="60"/>
              <w:right w:type="dxa" w:w="120"/>
            </w:tcMar>
          </w:tcPr>
          <w:p>
            <w:r>
              <w:rPr>
                <w:rFonts w:ascii="Arial" w:cs="Arial" w:eastAsia="Arial" w:hAnsi="Arial"/>
                <w:b/>
                <w:bCs/>
                <w:color w:val="0D1B2A"/>
                <w:sz w:val="20"/>
                <w:szCs w:val="20"/>
              </w:rPr>
              <w:t xml:space="preserve">Tier 2</w:t>
            </w:r>
          </w:p>
        </w:tc>
        <w:tc>
          <w:tcPr>
            <w:tcW w:type="dxa" w:w="4200"/>
            <w:tcMar>
              <w:top w:type="dxa" w:w="60"/>
              <w:left w:type="dxa" w:w="120"/>
              <w:bottom w:type="dxa" w:w="60"/>
              <w:right w:type="dxa" w:w="120"/>
            </w:tcMar>
          </w:tcPr>
          <w:p>
            <w:r>
              <w:rPr>
                <w:rFonts w:ascii="Arial" w:cs="Arial" w:eastAsia="Arial" w:hAnsi="Arial"/>
                <w:sz w:val="20"/>
                <w:szCs w:val="20"/>
              </w:rPr>
              <w:t xml:space="preserve">D&amp;B Paydex 80+, trades reporting. Revolving store lines.</w:t>
            </w:r>
          </w:p>
        </w:tc>
        <w:tc>
          <w:tcPr>
            <w:tcW w:type="dxa" w:w="4200"/>
            <w:tcMar>
              <w:top w:type="dxa" w:w="60"/>
              <w:left w:type="dxa" w:w="120"/>
              <w:bottom w:type="dxa" w:w="60"/>
              <w:right w:type="dxa" w:w="120"/>
            </w:tcMar>
          </w:tcPr>
          <w:p>
            <w:r>
              <w:rPr>
                <w:rFonts w:ascii="Arial" w:cs="Arial" w:eastAsia="Arial" w:hAnsi="Arial"/>
                <w:sz w:val="20"/>
                <w:szCs w:val="20"/>
              </w:rPr>
              <w:t xml:space="preserve">Home Depot, Office Depot, Staples</w:t>
            </w:r>
          </w:p>
        </w:tc>
      </w:tr>
      <w:tr>
        <w:tc>
          <w:tcPr>
            <w:tcW w:type="dxa" w:w="1680"/>
            <w:shd w:fill="F2F4F6" w:val="clear"/>
            <w:tcMar>
              <w:top w:type="dxa" w:w="60"/>
              <w:left w:type="dxa" w:w="120"/>
              <w:bottom w:type="dxa" w:w="60"/>
              <w:right w:type="dxa" w:w="120"/>
            </w:tcMar>
          </w:tcPr>
          <w:p>
            <w:r>
              <w:rPr>
                <w:rFonts w:ascii="Arial" w:cs="Arial" w:eastAsia="Arial" w:hAnsi="Arial"/>
                <w:b/>
                <w:bCs/>
                <w:color w:val="0D1B2A"/>
                <w:sz w:val="20"/>
                <w:szCs w:val="20"/>
              </w:rPr>
              <w:t xml:space="preserve">Tier 3</w:t>
            </w:r>
          </w:p>
        </w:tc>
        <w:tc>
          <w:tcPr>
            <w:tcW w:type="dxa" w:w="4200"/>
            <w:tcMar>
              <w:top w:type="dxa" w:w="60"/>
              <w:left w:type="dxa" w:w="120"/>
              <w:bottom w:type="dxa" w:w="60"/>
              <w:right w:type="dxa" w:w="120"/>
            </w:tcMar>
          </w:tcPr>
          <w:p>
            <w:r>
              <w:rPr>
                <w:rFonts w:ascii="Arial" w:cs="Arial" w:eastAsia="Arial" w:hAnsi="Arial"/>
                <w:sz w:val="20"/>
                <w:szCs w:val="20"/>
              </w:rPr>
              <w:t xml:space="preserve">Paydex 80+, 5–6 trades reporting. Net 30 and revolving.</w:t>
            </w:r>
          </w:p>
        </w:tc>
        <w:tc>
          <w:tcPr>
            <w:tcW w:type="dxa" w:w="4200"/>
            <w:tcMar>
              <w:top w:type="dxa" w:w="60"/>
              <w:left w:type="dxa" w:w="120"/>
              <w:bottom w:type="dxa" w:w="60"/>
              <w:right w:type="dxa" w:w="120"/>
            </w:tcMar>
          </w:tcPr>
          <w:p>
            <w:r>
              <w:rPr>
                <w:rFonts w:ascii="Arial" w:cs="Arial" w:eastAsia="Arial" w:hAnsi="Arial"/>
                <w:sz w:val="20"/>
                <w:szCs w:val="20"/>
              </w:rPr>
              <w:t xml:space="preserve">Sears, Best Buy, NewEgg</w:t>
            </w:r>
          </w:p>
        </w:tc>
      </w:tr>
      <w:tr>
        <w:tc>
          <w:tcPr>
            <w:tcW w:type="dxa" w:w="1680"/>
            <w:shd w:fill="F2F4F6" w:val="clear"/>
            <w:tcMar>
              <w:top w:type="dxa" w:w="60"/>
              <w:left w:type="dxa" w:w="120"/>
              <w:bottom w:type="dxa" w:w="60"/>
              <w:right w:type="dxa" w:w="120"/>
            </w:tcMar>
          </w:tcPr>
          <w:p>
            <w:r>
              <w:rPr>
                <w:rFonts w:ascii="Arial" w:cs="Arial" w:eastAsia="Arial" w:hAnsi="Arial"/>
                <w:b/>
                <w:bCs/>
                <w:color w:val="0D1B2A"/>
                <w:sz w:val="20"/>
                <w:szCs w:val="20"/>
              </w:rPr>
              <w:t xml:space="preserve">Tier 4</w:t>
            </w:r>
          </w:p>
        </w:tc>
        <w:tc>
          <w:tcPr>
            <w:tcW w:type="dxa" w:w="4200"/>
            <w:tcMar>
              <w:top w:type="dxa" w:w="60"/>
              <w:left w:type="dxa" w:w="120"/>
              <w:bottom w:type="dxa" w:w="60"/>
              <w:right w:type="dxa" w:w="120"/>
            </w:tcMar>
          </w:tcPr>
          <w:p>
            <w:r>
              <w:rPr>
                <w:rFonts w:ascii="Arial" w:cs="Arial" w:eastAsia="Arial" w:hAnsi="Arial"/>
                <w:sz w:val="20"/>
                <w:szCs w:val="20"/>
              </w:rPr>
              <w:t xml:space="preserve">7–9+ trades reporting. Private investors, VCs, institutional lenders.</w:t>
            </w:r>
          </w:p>
        </w:tc>
        <w:tc>
          <w:tcPr>
            <w:tcW w:type="dxa" w:w="4200"/>
            <w:tcMar>
              <w:top w:type="dxa" w:w="60"/>
              <w:left w:type="dxa" w:w="120"/>
              <w:bottom w:type="dxa" w:w="60"/>
              <w:right w:type="dxa" w:w="120"/>
            </w:tcMar>
          </w:tcPr>
          <w:p>
            <w:r>
              <w:rPr>
                <w:rFonts w:ascii="Arial" w:cs="Arial" w:eastAsia="Arial" w:hAnsi="Arial"/>
                <w:sz w:val="20"/>
                <w:szCs w:val="20"/>
              </w:rPr>
              <w:t xml:space="preserve">Private Capital, Venture Debt</w:t>
            </w:r>
          </w:p>
        </w:tc>
      </w:tr>
    </w:tbl>
    <w:p>
      <w:r>
        <w:t xml:space="preserve"/>
      </w:r>
    </w:p>
    <w:p>
      <w:pPr>
        <w:spacing w:after="100" w:before="240"/>
      </w:pPr>
      <w:r>
        <w:rPr>
          <w:rFonts w:ascii="Arial" w:cs="Arial" w:eastAsia="Arial" w:hAnsi="Arial"/>
          <w:b/>
          <w:bCs/>
          <w:color w:val="0D1B2A"/>
          <w:sz w:val="24"/>
          <w:szCs w:val="24"/>
        </w:rPr>
        <w:t xml:space="preserve">Step 4: Development</w:t>
      </w:r>
    </w:p>
    <w:p>
      <w:pPr>
        <w:spacing w:after="80" w:before="80"/>
      </w:pPr>
      <w:r>
        <w:rPr>
          <w:rFonts w:ascii="Arial" w:cs="Arial" w:eastAsia="Arial" w:hAnsi="Arial"/>
          <w:sz w:val="22"/>
          <w:szCs w:val="22"/>
        </w:rPr>
        <w:t xml:space="preserve">Once vendors extend credit, your only job is to pay on time — ideally early. In business credit, early payment boosts your score more than simply on-time payment does. Confirm that your vendors are actually reporting to the credit bureaus. Many don't do so automatically.</w:t>
      </w:r>
    </w:p>
    <w:p>
      <w:r>
        <w:t xml:space="preserve"/>
      </w:r>
    </w:p>
    <w:p>
      <w:pPr>
        <w:spacing w:after="80" w:before="80"/>
      </w:pPr>
      <w:r>
        <w:rPr>
          <w:rFonts w:ascii="Arial" w:cs="Arial" w:eastAsia="Arial" w:hAnsi="Arial"/>
          <w:sz w:val="22"/>
          <w:szCs w:val="22"/>
        </w:rPr>
        <w:t xml:space="preserve">Consider SBA loans to further develop your profile. Good personal credit helps qualify, especially for loans under $350,000.</w:t>
      </w:r>
    </w:p>
    <w:p>
      <w:r>
        <w:t xml:space="preserve"/>
      </w:r>
    </w:p>
    <w:p>
      <w:pPr>
        <w:pBdr>
          <w:bottom w:val="single" w:color="C89B3C" w:sz="4" w:space="4"/>
        </w:pBdr>
        <w:spacing w:after="160" w:before="320"/>
      </w:pPr>
      <w:r>
        <w:rPr>
          <w:rFonts w:ascii="Arial" w:cs="Arial" w:eastAsia="Arial" w:hAnsi="Arial"/>
          <w:b/>
          <w:bCs/>
          <w:color w:val="0D1B2A"/>
          <w:sz w:val="28"/>
          <w:szCs w:val="28"/>
        </w:rPr>
        <w:t xml:space="preserve">WHEN TO USE YOUR BUSINESS CREDIT</w:t>
      </w:r>
    </w:p>
    <w:p>
      <w:r>
        <w:t xml:space="preserve"/>
      </w:r>
    </w:p>
    <w:p>
      <w:pPr>
        <w:pStyle w:val="ListParagraph"/>
        <w:numPr>
          <w:ilvl w:val="0"/>
          <w:numId w:val="3"/>
        </w:numPr>
        <w:spacing w:after="60" w:before="60"/>
      </w:pPr>
      <w:r>
        <w:rPr>
          <w:rFonts w:ascii="Arial" w:cs="Arial" w:eastAsia="Arial" w:hAnsi="Arial"/>
          <w:sz w:val="22"/>
          <w:szCs w:val="22"/>
        </w:rPr>
        <w:t xml:space="preserve">Purchasing Properties — Fast access to capital lets you close before competition.</w:t>
      </w:r>
    </w:p>
    <w:p>
      <w:pPr>
        <w:pStyle w:val="ListParagraph"/>
        <w:numPr>
          <w:ilvl w:val="0"/>
          <w:numId w:val="3"/>
        </w:numPr>
        <w:spacing w:after="60" w:before="60"/>
      </w:pPr>
      <w:r>
        <w:rPr>
          <w:rFonts w:ascii="Arial" w:cs="Arial" w:eastAsia="Arial" w:hAnsi="Arial"/>
          <w:sz w:val="22"/>
          <w:szCs w:val="22"/>
        </w:rPr>
        <w:t xml:space="preserve">Covering Unexpected Costs — Protect deal profitability when surprises arise during rehab.</w:t>
      </w:r>
    </w:p>
    <w:p>
      <w:pPr>
        <w:pStyle w:val="ListParagraph"/>
        <w:numPr>
          <w:ilvl w:val="0"/>
          <w:numId w:val="3"/>
        </w:numPr>
        <w:spacing w:after="60" w:before="60"/>
      </w:pPr>
      <w:r>
        <w:rPr>
          <w:rFonts w:ascii="Arial" w:cs="Arial" w:eastAsia="Arial" w:hAnsi="Arial"/>
          <w:sz w:val="22"/>
          <w:szCs w:val="22"/>
        </w:rPr>
        <w:t xml:space="preserve">Filling Cash Flow Gaps — Real estate investors get paid in lump sums. Credit bridges the gaps.</w:t>
      </w:r>
    </w:p>
    <w:p>
      <w:r>
        <w:t xml:space="preserve"/>
      </w:r>
    </w:p>
    <w:p>
      <w:pPr>
        <w:spacing w:after="80" w:before="80"/>
      </w:pPr>
      <w:r>
        <w:rPr>
          <w:rFonts w:ascii="Arial" w:cs="Arial" w:eastAsia="Arial" w:hAnsi="Arial"/>
          <w:sz w:val="22"/>
          <w:szCs w:val="22"/>
        </w:rPr>
        <w:t xml:space="preserve">Business credit lets you finance materials, repairs, and carrying costs without encumbering properties with additional liens or larger loans — preserving your equity and flexibility.</w:t>
      </w:r>
    </w:p>
    <w:p>
      <w:r>
        <w:t xml:space="preserve"/>
      </w:r>
    </w:p>
    <w:p>
      <w:pPr>
        <w:pBdr>
          <w:bottom w:val="single" w:color="C89B3C" w:sz="4" w:space="4"/>
        </w:pBdr>
        <w:spacing w:after="160" w:before="320"/>
      </w:pPr>
      <w:r>
        <w:rPr>
          <w:rFonts w:ascii="Arial" w:cs="Arial" w:eastAsia="Arial" w:hAnsi="Arial"/>
          <w:b/>
          <w:bCs/>
          <w:color w:val="0D1B2A"/>
          <w:sz w:val="28"/>
          <w:szCs w:val="28"/>
        </w:rPr>
        <w:t xml:space="preserve">BUSINESS CREDIT WRAP-UP CHECKLIST</w:t>
      </w:r>
    </w:p>
    <w:p>
      <w:r>
        <w:t xml:space="preserve"/>
      </w:r>
    </w:p>
    <w:p>
      <w:pPr>
        <w:pStyle w:val="ListParagraph"/>
        <w:numPr>
          <w:ilvl w:val="0"/>
          <w:numId w:val="2"/>
        </w:numPr>
        <w:spacing w:after="60" w:before="60"/>
      </w:pPr>
      <w:r>
        <w:rPr>
          <w:rFonts w:ascii="Arial" w:cs="Arial" w:eastAsia="Arial" w:hAnsi="Arial"/>
          <w:sz w:val="22"/>
          <w:szCs w:val="22"/>
        </w:rPr>
        <w:t xml:space="preserve">Comply with all bureau requirements (address, phone, entity record)</w:t>
      </w:r>
    </w:p>
    <w:p>
      <w:pPr>
        <w:pStyle w:val="ListParagraph"/>
        <w:numPr>
          <w:ilvl w:val="0"/>
          <w:numId w:val="2"/>
        </w:numPr>
        <w:spacing w:after="60" w:before="60"/>
      </w:pPr>
      <w:r>
        <w:rPr>
          <w:rFonts w:ascii="Arial" w:cs="Arial" w:eastAsia="Arial" w:hAnsi="Arial"/>
          <w:sz w:val="22"/>
          <w:szCs w:val="22"/>
        </w:rPr>
        <w:t xml:space="preserve">Understand credit reporting — know which vendors report and to which bureaus</w:t>
      </w:r>
    </w:p>
    <w:p>
      <w:pPr>
        <w:pStyle w:val="ListParagraph"/>
        <w:numPr>
          <w:ilvl w:val="0"/>
          <w:numId w:val="2"/>
        </w:numPr>
        <w:spacing w:after="60" w:before="60"/>
      </w:pPr>
      <w:r>
        <w:rPr>
          <w:rFonts w:ascii="Arial" w:cs="Arial" w:eastAsia="Arial" w:hAnsi="Arial"/>
          <w:sz w:val="22"/>
          <w:szCs w:val="22"/>
        </w:rPr>
        <w:t xml:space="preserve">Begin acquiring credit — start with Tier 1 vendors</w:t>
      </w:r>
    </w:p>
    <w:p>
      <w:pPr>
        <w:pStyle w:val="ListParagraph"/>
        <w:numPr>
          <w:ilvl w:val="0"/>
          <w:numId w:val="2"/>
        </w:numPr>
        <w:spacing w:after="60" w:before="60"/>
      </w:pPr>
      <w:r>
        <w:rPr>
          <w:rFonts w:ascii="Arial" w:cs="Arial" w:eastAsia="Arial" w:hAnsi="Arial"/>
          <w:sz w:val="22"/>
          <w:szCs w:val="22"/>
        </w:rPr>
        <w:t xml:space="preserve">Use your credit monthly — inactive accounts don't build history</w:t>
      </w:r>
    </w:p>
    <w:p>
      <w:pPr>
        <w:pStyle w:val="ListParagraph"/>
        <w:numPr>
          <w:ilvl w:val="0"/>
          <w:numId w:val="2"/>
        </w:numPr>
        <w:spacing w:after="60" w:before="60"/>
      </w:pPr>
      <w:r>
        <w:rPr>
          <w:rFonts w:ascii="Arial" w:cs="Arial" w:eastAsia="Arial" w:hAnsi="Arial"/>
          <w:sz w:val="22"/>
          <w:szCs w:val="22"/>
        </w:rPr>
        <w:t xml:space="preserve">Pay all bills on time or early</w:t>
      </w:r>
    </w:p>
    <w:p>
      <w:pPr>
        <w:pStyle w:val="ListParagraph"/>
        <w:numPr>
          <w:ilvl w:val="0"/>
          <w:numId w:val="2"/>
        </w:numPr>
        <w:spacing w:after="60" w:before="60"/>
      </w:pPr>
      <w:r>
        <w:rPr>
          <w:rFonts w:ascii="Arial" w:cs="Arial" w:eastAsia="Arial" w:hAnsi="Arial"/>
          <w:sz w:val="22"/>
          <w:szCs w:val="22"/>
        </w:rPr>
        <w:t xml:space="preserve">Monitor your accounts regularly — check Dun &amp; Bradstreet, Experian, and Equifax Business</w:t>
      </w:r>
    </w:p>
    <w:p>
      <w:r>
        <w:t xml:space="preserve"/>
      </w:r>
    </w:p>
    <w:p>
      <w:pPr>
        <w:pBdr>
          <w:top w:val="single" w:color="CCCCCC" w:sz="2" w:space="4"/>
        </w:pBdr>
        <w:spacing w:after="80" w:before="400"/>
      </w:pPr>
      <w:r>
        <w:rPr>
          <w:rFonts w:ascii="Arial" w:cs="Arial" w:eastAsia="Arial" w:hAnsi="Arial"/>
          <w:i/>
          <w:iCs/>
          <w:color w:val="666666"/>
          <w:sz w:val="16"/>
          <w:szCs w:val="16"/>
        </w:rPr>
        <w:t xml:space="preserve">DISCLAIMER: This document is provided for educational purposes only and does not constitute legal, financial, or investment advice. [YOUR COMPANY] and The Dessauer Group make no representations or warranties. Consult qualified legal and financial professionals before acting on any information herein.</w:t>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4" w:space="4"/>
      </w:pBdr>
      <w:tabs>
        <w:tab w:val="right" w:pos="10080"/>
      </w:tabs>
    </w:pPr>
    <w:r>
      <w:rPr>
        <w:rFonts w:ascii="Arial" w:cs="Arial" w:eastAsia="Arial" w:hAnsi="Arial"/>
        <w:color w:val="0D1B2A"/>
        <w:sz w:val="16"/>
        <w:szCs w:val="16"/>
      </w:rPr>
      <w:t xml:space="preserve">FORGE | Powered by ARIS | ForgedByAris.com</w:t>
    </w:r>
    <w:r>
      <w:rPr>
        <w:rFonts w:ascii="Arial" w:cs="Arial" w:eastAsia="Arial" w:hAnsi="Arial"/>
        <w:color w:val="0D1B2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C89B3C" w:sz="6"/>
        <w:right w:val="none"/>
        <w:insideH w:val="single" w:color="auto" w:sz="4"/>
        <w:insideV w:val="single" w:color="auto" w:sz="4"/>
      </w:tblBorders>
    </w:tblPr>
    <w:tblGrid>
      <w:gridCol w:w="7560"/>
      <w:gridCol w:w="2520"/>
    </w:tblGrid>
    <w:tr>
      <w:tc>
        <w:tcPr>
          <w:tcW w:type="dxa" w:w="7560"/>
          <w:shd w:fill="0D1B2A" w:val="clear"/>
          <w:tcMar>
            <w:top w:type="dxa" w:w="80"/>
            <w:left w:type="dxa" w:w="120"/>
            <w:bottom w:type="dxa" w:w="80"/>
            <w:right w:type="dxa" w:w="120"/>
          </w:tcMar>
        </w:tcPr>
        <w:p>
          <w:r>
            <w:rPr>
              <w:rFonts w:ascii="Arial" w:cs="Arial" w:eastAsia="Arial" w:hAnsi="Arial"/>
              <w:b/>
              <w:bCs/>
              <w:color w:val="FFFFFF"/>
              <w:sz w:val="28"/>
              <w:szCs w:val="28"/>
            </w:rPr>
            <w:t xml:space="preserve">FORGE</w:t>
          </w:r>
        </w:p>
        <w:p>
          <w:r>
            <w:rPr>
              <w:rFonts w:ascii="Arial" w:cs="Arial" w:eastAsia="Arial" w:hAnsi="Arial"/>
              <w:color w:val="C89B3C"/>
              <w:sz w:val="20"/>
              <w:szCs w:val="20"/>
            </w:rPr>
            <w:t xml:space="preserve">Building Business Credit Guide</w:t>
          </w:r>
        </w:p>
      </w:tc>
      <w:tc>
        <w:tcPr>
          <w:tcW w:type="dxa" w:w="2520"/>
          <w:shd w:fill="0D1B2A" w:val="clear"/>
          <w:tcMar>
            <w:top w:type="dxa" w:w="80"/>
            <w:left w:type="dxa" w:w="120"/>
            <w:bottom w:type="dxa" w:w="80"/>
            <w:right w:type="dxa" w:w="120"/>
          </w:tcMar>
          <w:vAlign w:val="center"/>
        </w:tcPr>
        <w:p>
          <w:pPr>
            <w:jc w:val="right"/>
          </w:pPr>
          <w:r>
            <w:rPr>
              <w:rFonts w:ascii="Arial" w:cs="Arial" w:eastAsia="Arial" w:hAnsi="Arial"/>
              <w:i/>
              <w:iCs/>
              <w:color w:val="C89B3C"/>
              <w:sz w:val="16"/>
              <w:szCs w:val="16"/>
            </w:rPr>
            <w:t xml:space="preserve">Powered by ARIS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2026-06-15T21:53:07.661Z</dcterms:created>
  <dcterms:modified xsi:type="dcterms:W3CDTF">2026-06-15T21:53:07.661Z</dcterms:modified>
</cp:coreProperties>
</file>

<file path=docProps/custom.xml><?xml version="1.0" encoding="utf-8"?>
<Properties xmlns="http://schemas.openxmlformats.org/officeDocument/2006/custom-properties" xmlns:vt="http://schemas.openxmlformats.org/officeDocument/2006/docPropsVTypes"/>
</file>