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none"/>
              <w:left w:val="none"/>
              <w:bottom w:val="none"/>
              <w:right w:val="none"/>
            </w:tcBorders>
            <w:shd w:fill="0D1B2A" w:val="clear"/>
            <w:tcMar>
              <w:top w:type="dxa" w:w="160"/>
              <w:left w:type="dxa" w:w="200"/>
              <w:bottom w:type="dxa" w:w="160"/>
              <w:right w:type="dxa" w:w="120"/>
            </w:tcMar>
            <w:vAlign w:val="center"/>
          </w:tcPr>
          <w:p>
            <w:pPr>
              <w:jc w:val="left"/>
            </w:pPr>
            <w:r>
              <w:drawing>
                <wp:inline distT="0" distB="0" distL="0" distR="0">
                  <wp:extent cx="20002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00250" cy="781050"/>
                          </a:xfrm>
                          <a:prstGeom prst="rect">
                            <a:avLst/>
                          </a:prstGeom>
                        </pic:spPr>
                      </pic:pic>
                    </a:graphicData>
                  </a:graphic>
                </wp:inline>
              </w:drawing>
            </w:r>
          </w:p>
        </w:tc>
        <w:tc>
          <w:tcPr>
            <w:tcW w:type="dxa" w:w="6480"/>
            <w:tcBorders>
              <w:top w:val="none"/>
              <w:left w:val="none"/>
              <w:bottom w:val="none"/>
              <w:right w:val="none"/>
            </w:tcBorders>
            <w:shd w:fill="0D1B2A" w:val="clear"/>
            <w:tcMar>
              <w:top w:type="dxa" w:w="160"/>
              <w:left w:type="dxa" w:w="200"/>
              <w:bottom w:type="dxa" w:w="160"/>
              <w:right w:type="dxa" w:w="200"/>
            </w:tcMar>
            <w:vAlign w:val="center"/>
          </w:tcPr>
          <w:p>
            <w:pPr>
              <w:jc w:val="right"/>
            </w:pPr>
            <w:r>
              <w:rPr>
                <w:rFonts w:ascii="Arial" w:cs="Arial" w:eastAsia="Arial" w:hAnsi="Arial"/>
                <w:b/>
                <w:bCs/>
                <w:color w:val="FFFFFF"/>
                <w:sz w:val="34"/>
                <w:szCs w:val="34"/>
              </w:rPr>
              <w:t xml:space="preserve">Buying Vacation, Waterfront &amp; Luxury Properties</w:t>
            </w:r>
          </w:p>
          <w:p>
            <w:pPr>
              <w:jc w:val="right"/>
            </w:pPr>
            <w:r>
              <w:rPr>
                <w:rFonts w:ascii="Arial" w:cs="Arial" w:eastAsia="Arial" w:hAnsi="Arial"/>
                <w:i/>
                <w:iCs/>
                <w:color w:val="C89B3C"/>
                <w:sz w:val="19"/>
                <w:szCs w:val="19"/>
              </w:rPr>
              <w:t xml:space="preserve">A Complete Guide for Real Estate Investors &amp; Buyers</w:t>
            </w:r>
          </w:p>
        </w:tc>
      </w:tr>
      <w:tr>
        <w:tc>
          <w:tcPr>
            <w:tcW w:type="dxa" w:w="10080"/>
            <w:gridSpan w:val="2"/>
            <w:tcBorders>
              <w:top w:val="none"/>
              <w:left w:val="none"/>
              <w:bottom w:val="none"/>
              <w:right w:val="none"/>
            </w:tcBorders>
            <w:shd w:fill="C89B3C" w:val="clear"/>
            <w:tcMar>
              <w:top w:type="dxa" w:w="0"/>
              <w:left w:type="dxa" w:w="0"/>
              <w:bottom w:type="dxa" w:w="0"/>
              <w:right w:type="dxa" w:w="0"/>
            </w:tcMar>
          </w:tcPr>
          <w:p>
            <w:pPr>
              <w:spacing w:after="0" w:before="0"/>
            </w:pPr>
            <w:r>
              <w:rPr>
                <w:sz w:val="6"/>
                <w:szCs w:val="6"/>
              </w:rPr>
              <w:t xml:space="preserve"> </w:t>
            </w:r>
          </w:p>
        </w:tc>
      </w:tr>
    </w:tbl>
    <w:p>
      <w:pPr>
        <w:spacing w:after="60" w:before="60"/>
      </w:pPr>
      <w:r>
        <w:t xml:space="preserve"/>
      </w:r>
    </w:p>
    <w:p>
      <w:pPr>
        <w:pBdr>
          <w:top w:val="single" w:color="C89B3C" w:sz="2"/>
          <w:bottom w:val="single" w:color="C89B3C" w:sz="2"/>
          <w:left w:val="single" w:color="C89B3C" w:sz="8"/>
          <w:right w:val="none"/>
        </w:pBdr>
        <w:shd w:fill="FFF8EC" w:val="clear"/>
        <w:spacing w:after="240" w:before="120"/>
        <w:ind w:left="160"/>
      </w:pPr>
      <w:r>
        <w:rPr>
          <w:rFonts w:ascii="Arial" w:cs="Arial" w:eastAsia="Arial" w:hAnsi="Arial"/>
          <w:i/>
          <w:iCs/>
          <w:color w:val="7B5C1A"/>
          <w:sz w:val="16"/>
          <w:szCs w:val="16"/>
        </w:rPr>
        <w:t xml:space="preserve">LEGAL DISCLAIMER: Documents in this Vault are provided as educational templates only and do not constitute legal or financial advice. FORGE is not a law firm. Real estate laws, contract requirements, and regulations vary significantly by state, county, and municipality. All documents should be reviewed and approved by a licensed attorney in your jurisdiction before execution. Always consult qualified legal and financial professionals before making any investment decision.</w:t>
      </w:r>
    </w:p>
    <w:p>
      <w:pPr>
        <w:spacing w:after="60" w:before="60"/>
      </w:pPr>
      <w:r>
        <w:t xml:space="preserve"/>
      </w:r>
    </w:p>
    <w:p>
      <w:pPr>
        <w:pBdr>
          <w:bottom w:val="single" w:color="C89B3C" w:sz="3"/>
        </w:pBdr>
        <w:spacing w:after="120" w:before="320"/>
      </w:pPr>
      <w:r>
        <w:rPr>
          <w:rFonts w:ascii="Arial" w:cs="Arial" w:eastAsia="Arial" w:hAnsi="Arial"/>
          <w:b/>
          <w:bCs/>
          <w:color w:val="0D1B2A"/>
          <w:sz w:val="22"/>
          <w:szCs w:val="22"/>
        </w:rPr>
        <w:t xml:space="preserve">INTRODUCTION</w:t>
      </w:r>
    </w:p>
    <w:p>
      <w:pPr>
        <w:spacing w:after="80" w:before="80"/>
      </w:pPr>
      <w:r>
        <w:rPr>
          <w:rFonts w:ascii="Arial" w:cs="Arial" w:eastAsia="Arial" w:hAnsi="Arial"/>
          <w:b w:val="false"/>
          <w:bCs w:val="false"/>
          <w:color w:val="333333"/>
          <w:sz w:val="20"/>
          <w:szCs w:val="20"/>
        </w:rPr>
        <w:t xml:space="preserve">A luxury home and a standard single-family home are on completely different playing fields in real estate. Different rules, different preparation, different variables — and significantly more due diligence required at every stage. If this is your first time pursuing a vacation, waterfront, or luxury property, this guide will show you exactly how the process differs and what you need to know to succeed.</w:t>
      </w:r>
    </w:p>
    <w:p>
      <w:pPr>
        <w:spacing w:after="60" w:before="60"/>
      </w:pPr>
      <w:r>
        <w:t xml:space="preserve"/>
      </w:r>
    </w:p>
    <w:p>
      <w:pPr>
        <w:pBdr>
          <w:top w:val="single" w:color="C89B3C" w:sz="2"/>
          <w:bottom w:val="single" w:color="C89B3C" w:sz="2"/>
          <w:left w:val="single" w:color="C89B3C" w:sz="8"/>
          <w:right w:val="none"/>
        </w:pBdr>
        <w:shd w:fill="FFF8EC" w:val="clear"/>
        <w:spacing w:after="200" w:before="120"/>
        <w:ind w:left="160"/>
      </w:pPr>
      <w:r>
        <w:rPr>
          <w:rFonts w:ascii="Arial" w:cs="Arial" w:eastAsia="Arial" w:hAnsi="Arial"/>
          <w:i/>
          <w:iCs/>
          <w:color w:val="7B5C1A"/>
          <w:sz w:val="18"/>
          <w:szCs w:val="18"/>
        </w:rPr>
        <w:t xml:space="preserve">FORGE TIP: As an investor, luxury and waterfront properties offer significant upside in appreciation, rental income, and deal creativity. The higher price point also means fewer competing buyers — if you're prepared.</w:t>
      </w:r>
    </w:p>
    <w:p>
      <w:pPr>
        <w:spacing w:after="60" w:before="60"/>
      </w:pPr>
      <w:r>
        <w:t xml:space="preserve"/>
      </w:r>
    </w:p>
    <w:p>
      <w:pPr>
        <w:pBdr>
          <w:bottom w:val="single" w:color="C89B3C" w:sz="3"/>
        </w:pBdr>
        <w:spacing w:after="120" w:before="320"/>
      </w:pPr>
      <w:r>
        <w:rPr>
          <w:rFonts w:ascii="Arial" w:cs="Arial" w:eastAsia="Arial" w:hAnsi="Arial"/>
          <w:b/>
          <w:bCs/>
          <w:color w:val="0D1B2A"/>
          <w:sz w:val="22"/>
          <w:szCs w:val="22"/>
        </w:rPr>
        <w:t xml:space="preserve">PART 1 — GETTING READY TO BUY</w:t>
      </w:r>
    </w:p>
    <w:p>
      <w:pPr>
        <w:spacing w:after="80" w:before="80"/>
      </w:pPr>
      <w:r>
        <w:rPr>
          <w:rFonts w:ascii="Arial" w:cs="Arial" w:eastAsia="Arial" w:hAnsi="Arial"/>
          <w:b w:val="false"/>
          <w:bCs w:val="false"/>
          <w:color w:val="333333"/>
          <w:sz w:val="20"/>
          <w:szCs w:val="20"/>
        </w:rPr>
        <w:t xml:space="preserve">Preparation is the foundation of every successful luxury purchase. Finding a great property at a great price is harder in this segment — your competition is more experienced, more capitalized, and more prepared. Here are the six steps every buyer must complete before pursuing luxury or waterfront real estate:</w:t>
      </w:r>
    </w:p>
    <w:p>
      <w:pPr>
        <w:spacing w:after="60" w:before="60"/>
      </w:pPr>
      <w:r>
        <w:t xml:space="preserve"/>
      </w:r>
    </w:p>
    <w:p>
      <w:pPr>
        <w:spacing w:after="80" w:before="80"/>
      </w:pPr>
      <w:r>
        <w:rPr>
          <w:rFonts w:ascii="Arial" w:cs="Arial" w:eastAsia="Arial" w:hAnsi="Arial"/>
          <w:b/>
          <w:bCs/>
          <w:color w:val="333333"/>
          <w:sz w:val="20"/>
          <w:szCs w:val="20"/>
        </w:rPr>
        <w:t xml:space="preserve">1. Secure Your Financing or Confirm Cash Position</w:t>
      </w:r>
    </w:p>
    <w:p>
      <w:pPr>
        <w:spacing w:after="80" w:before="80"/>
      </w:pPr>
      <w:r>
        <w:rPr>
          <w:rFonts w:ascii="Arial" w:cs="Arial" w:eastAsia="Arial" w:hAnsi="Arial"/>
          <w:b w:val="false"/>
          <w:bCs w:val="false"/>
          <w:color w:val="333333"/>
          <w:sz w:val="20"/>
          <w:szCs w:val="20"/>
        </w:rPr>
        <w:t xml:space="preserve">Luxury and waterfront properties often fall into the jumbo loan category. Lenders require larger down payments, more documentation, and more time to process. Pre-qualification can take longer — and being unprepared when the right property appears is a costly mistake. If you're purchasing with cash, have proof of funds ready to present.</w:t>
      </w:r>
    </w:p>
    <w:p>
      <w:pPr>
        <w:spacing w:after="60" w:before="60"/>
      </w:pPr>
      <w:r>
        <w:t xml:space="preserve"/>
      </w:r>
    </w:p>
    <w:p>
      <w:pPr>
        <w:spacing w:after="80" w:before="80"/>
      </w:pPr>
      <w:r>
        <w:rPr>
          <w:rFonts w:ascii="Arial" w:cs="Arial" w:eastAsia="Arial" w:hAnsi="Arial"/>
          <w:b/>
          <w:bCs/>
          <w:color w:val="333333"/>
          <w:sz w:val="20"/>
          <w:szCs w:val="20"/>
        </w:rPr>
        <w:t xml:space="preserve">2. Find a Specialist Agent</w:t>
      </w:r>
    </w:p>
    <w:p>
      <w:pPr>
        <w:spacing w:after="80" w:before="80"/>
      </w:pPr>
      <w:r>
        <w:rPr>
          <w:rFonts w:ascii="Arial" w:cs="Arial" w:eastAsia="Arial" w:hAnsi="Arial"/>
          <w:b w:val="false"/>
          <w:bCs w:val="false"/>
          <w:color w:val="333333"/>
          <w:sz w:val="20"/>
          <w:szCs w:val="20"/>
        </w:rPr>
        <w:t xml:space="preserve">Luxury homes and waterfront properties come with variables that a standard residential agent may not understand — pricing based on views and lifestyle, dock rights, erosion history, HOA restrictions, and insurance requirements. Find an agent who works specifically in this segment and has a track record to prove it.</w:t>
      </w:r>
    </w:p>
    <w:p>
      <w:pPr>
        <w:spacing w:after="60" w:before="60"/>
      </w:pPr>
      <w:r>
        <w:t xml:space="preserve"/>
      </w:r>
    </w:p>
    <w:p>
      <w:pPr>
        <w:spacing w:after="80" w:before="80"/>
      </w:pPr>
      <w:r>
        <w:rPr>
          <w:rFonts w:ascii="Arial" w:cs="Arial" w:eastAsia="Arial" w:hAnsi="Arial"/>
          <w:b/>
          <w:bCs/>
          <w:color w:val="333333"/>
          <w:sz w:val="20"/>
          <w:szCs w:val="20"/>
        </w:rPr>
        <w:t xml:space="preserve">3. Choose Your Location First</w:t>
      </w:r>
    </w:p>
    <w:p>
      <w:pPr>
        <w:spacing w:after="80" w:before="80"/>
      </w:pPr>
      <w:r>
        <w:rPr>
          <w:rFonts w:ascii="Arial" w:cs="Arial" w:eastAsia="Arial" w:hAnsi="Arial"/>
          <w:b w:val="false"/>
          <w:bCs w:val="false"/>
          <w:color w:val="333333"/>
          <w:sz w:val="20"/>
          <w:szCs w:val="20"/>
        </w:rPr>
        <w:t xml:space="preserve">In luxury real estate, land is more important than structure. The old principle — location, location, location — applies with extra weight here. You can renovate a house. You cannot move it. Commit to a location before you fall in love with a specific property.</w:t>
      </w:r>
    </w:p>
    <w:p>
      <w:pPr>
        <w:spacing w:after="60" w:before="60"/>
      </w:pPr>
      <w:r>
        <w:t xml:space="preserve"/>
      </w:r>
    </w:p>
    <w:p>
      <w:pPr>
        <w:spacing w:after="80" w:before="80"/>
      </w:pPr>
      <w:r>
        <w:rPr>
          <w:rFonts w:ascii="Arial" w:cs="Arial" w:eastAsia="Arial" w:hAnsi="Arial"/>
          <w:b/>
          <w:bCs/>
          <w:color w:val="333333"/>
          <w:sz w:val="20"/>
          <w:szCs w:val="20"/>
        </w:rPr>
        <w:t xml:space="preserve">4. Resolve Insurance Before You Close</w:t>
      </w:r>
    </w:p>
    <w:p>
      <w:pPr>
        <w:spacing w:after="80" w:before="80"/>
      </w:pPr>
      <w:r>
        <w:rPr>
          <w:rFonts w:ascii="Arial" w:cs="Arial" w:eastAsia="Arial" w:hAnsi="Arial"/>
          <w:b w:val="false"/>
          <w:bCs w:val="false"/>
          <w:color w:val="333333"/>
          <w:sz w:val="20"/>
          <w:szCs w:val="20"/>
        </w:rPr>
        <w:t xml:space="preserve">Waterfront properties frequently require multiple insurance policies — flood, wind, and general hazard — often through different carriers. Luxury homes require higher coverage limits. Contact your insurance broker before making an offer and understand the full annual cost.</w:t>
      </w:r>
    </w:p>
    <w:p>
      <w:pPr>
        <w:spacing w:after="60" w:before="60"/>
      </w:pPr>
      <w:r>
        <w:t xml:space="preserve"/>
      </w:r>
    </w:p>
    <w:p>
      <w:pPr>
        <w:spacing w:after="80" w:before="80"/>
      </w:pPr>
      <w:r>
        <w:rPr>
          <w:rFonts w:ascii="Arial" w:cs="Arial" w:eastAsia="Arial" w:hAnsi="Arial"/>
          <w:b/>
          <w:bCs/>
          <w:color w:val="333333"/>
          <w:sz w:val="20"/>
          <w:szCs w:val="20"/>
        </w:rPr>
        <w:t xml:space="preserve">5. Talk to the Neighbors</w:t>
      </w:r>
    </w:p>
    <w:p>
      <w:pPr>
        <w:spacing w:after="80" w:before="80"/>
      </w:pPr>
      <w:r>
        <w:rPr>
          <w:rFonts w:ascii="Arial" w:cs="Arial" w:eastAsia="Arial" w:hAnsi="Arial"/>
          <w:b w:val="false"/>
          <w:bCs w:val="false"/>
          <w:color w:val="333333"/>
          <w:sz w:val="20"/>
          <w:szCs w:val="20"/>
        </w:rPr>
        <w:t xml:space="preserve">Neighbors are the most reliable source of information about a property, a neighborhood, and what daily life there actually looks like. Knock on doors. Ask about noise, traffic, flooding history, HOA dynamics, and anything else that matters to your use of the property.</w:t>
      </w:r>
    </w:p>
    <w:p>
      <w:pPr>
        <w:spacing w:after="60" w:before="60"/>
      </w:pPr>
      <w:r>
        <w:t xml:space="preserve"/>
      </w:r>
    </w:p>
    <w:p>
      <w:pPr>
        <w:spacing w:after="80" w:before="80"/>
      </w:pPr>
      <w:r>
        <w:rPr>
          <w:rFonts w:ascii="Arial" w:cs="Arial" w:eastAsia="Arial" w:hAnsi="Arial"/>
          <w:b/>
          <w:bCs/>
          <w:color w:val="333333"/>
          <w:sz w:val="20"/>
          <w:szCs w:val="20"/>
        </w:rPr>
        <w:t xml:space="preserve">6. Verify Utilities in Rural and Coastal Areas</w:t>
      </w:r>
    </w:p>
    <w:p>
      <w:pPr>
        <w:spacing w:after="80" w:before="80"/>
      </w:pPr>
      <w:r>
        <w:rPr>
          <w:rFonts w:ascii="Arial" w:cs="Arial" w:eastAsia="Arial" w:hAnsi="Arial"/>
          <w:b w:val="false"/>
          <w:bCs w:val="false"/>
          <w:color w:val="333333"/>
          <w:sz w:val="20"/>
          <w:szCs w:val="20"/>
        </w:rPr>
        <w:t xml:space="preserve">Never assume. Water access, septic systems, electricity, internet, and cable availability vary significantly in remote or coastal locations. Bringing services to a property that lacks them can add substantial cost to your purchase.</w:t>
      </w:r>
    </w:p>
    <w:p>
      <w:pPr>
        <w:spacing w:after="60" w:before="60"/>
      </w:pPr>
      <w:r>
        <w:t xml:space="preserve"/>
      </w:r>
    </w:p>
    <w:p>
      <w:pPr>
        <w:pBdr>
          <w:bottom w:val="single" w:color="C89B3C" w:sz="3"/>
        </w:pBdr>
        <w:spacing w:after="120" w:before="320"/>
      </w:pPr>
      <w:r>
        <w:rPr>
          <w:rFonts w:ascii="Arial" w:cs="Arial" w:eastAsia="Arial" w:hAnsi="Arial"/>
          <w:b/>
          <w:bCs/>
          <w:color w:val="0D1B2A"/>
          <w:sz w:val="22"/>
          <w:szCs w:val="22"/>
        </w:rPr>
        <w:t xml:space="preserve">PART 2 — DETERMINING YOUR NEEDS</w:t>
      </w:r>
    </w:p>
    <w:p>
      <w:pPr>
        <w:spacing w:after="80" w:before="80"/>
      </w:pPr>
      <w:r>
        <w:rPr>
          <w:rFonts w:ascii="Arial" w:cs="Arial" w:eastAsia="Arial" w:hAnsi="Arial"/>
          <w:b w:val="false"/>
          <w:bCs w:val="false"/>
          <w:color w:val="333333"/>
          <w:sz w:val="20"/>
          <w:szCs w:val="20"/>
        </w:rPr>
        <w:t xml:space="preserve">With more capital on the line, the gap between what you want and what you actually get matters significantly. Define your needs before you begin touring properties — not during.</w:t>
      </w:r>
    </w:p>
    <w:p>
      <w:pPr>
        <w:spacing w:after="60" w:before="60"/>
      </w:pPr>
      <w:r>
        <w:t xml:space="preserve"/>
      </w:r>
    </w:p>
    <w:p>
      <w:pPr>
        <w:spacing w:after="80" w:before="80"/>
      </w:pPr>
      <w:r>
        <w:rPr>
          <w:rFonts w:ascii="Arial" w:cs="Arial" w:eastAsia="Arial" w:hAnsi="Arial"/>
          <w:b/>
          <w:bCs/>
          <w:color w:val="333333"/>
          <w:sz w:val="20"/>
          <w:szCs w:val="20"/>
        </w:rPr>
        <w:t xml:space="preserve">Questions to Answer Before You Search:</w:t>
      </w:r>
    </w:p>
    <w:p>
      <w:pPr>
        <w:pStyle w:val="ListParagraph"/>
        <w:numPr>
          <w:ilvl w:val="0"/>
          <w:numId w:val="2"/>
        </w:numPr>
        <w:spacing w:after="60" w:before="60"/>
      </w:pPr>
      <w:r>
        <w:rPr>
          <w:rFonts w:ascii="Arial" w:cs="Arial" w:eastAsia="Arial" w:hAnsi="Arial"/>
          <w:sz w:val="20"/>
          <w:szCs w:val="20"/>
        </w:rPr>
        <w:t xml:space="preserve">How do I plan to use this property — primary residence, vacation home, short-term rental, or investment?</w:t>
      </w:r>
    </w:p>
    <w:p>
      <w:pPr>
        <w:pStyle w:val="ListParagraph"/>
        <w:numPr>
          <w:ilvl w:val="0"/>
          <w:numId w:val="2"/>
        </w:numPr>
        <w:spacing w:after="60" w:before="60"/>
      </w:pPr>
      <w:r>
        <w:rPr>
          <w:rFonts w:ascii="Arial" w:cs="Arial" w:eastAsia="Arial" w:hAnsi="Arial"/>
          <w:sz w:val="20"/>
          <w:szCs w:val="20"/>
        </w:rPr>
        <w:t xml:space="preserve">How often will I be there? Is it suitable for year-round use?</w:t>
      </w:r>
    </w:p>
    <w:p>
      <w:pPr>
        <w:pStyle w:val="ListParagraph"/>
        <w:numPr>
          <w:ilvl w:val="0"/>
          <w:numId w:val="2"/>
        </w:numPr>
        <w:spacing w:after="60" w:before="60"/>
      </w:pPr>
      <w:r>
        <w:rPr>
          <w:rFonts w:ascii="Arial" w:cs="Arial" w:eastAsia="Arial" w:hAnsi="Arial"/>
          <w:sz w:val="20"/>
          <w:szCs w:val="20"/>
        </w:rPr>
        <w:t xml:space="preserve">What activities matter most to me — boating, golf, fishing, privacy, entertaining, outdoor recreation?</w:t>
      </w:r>
    </w:p>
    <w:p>
      <w:pPr>
        <w:pStyle w:val="ListParagraph"/>
        <w:numPr>
          <w:ilvl w:val="0"/>
          <w:numId w:val="2"/>
        </w:numPr>
        <w:spacing w:after="60" w:before="60"/>
      </w:pPr>
      <w:r>
        <w:rPr>
          <w:rFonts w:ascii="Arial" w:cs="Arial" w:eastAsia="Arial" w:hAnsi="Arial"/>
          <w:sz w:val="20"/>
          <w:szCs w:val="20"/>
        </w:rPr>
        <w:t xml:space="preserve">What are my non-negotiable must-haves?</w:t>
      </w:r>
    </w:p>
    <w:p>
      <w:pPr>
        <w:pStyle w:val="ListParagraph"/>
        <w:numPr>
          <w:ilvl w:val="0"/>
          <w:numId w:val="2"/>
        </w:numPr>
        <w:spacing w:after="60" w:before="60"/>
      </w:pPr>
      <w:r>
        <w:rPr>
          <w:rFonts w:ascii="Arial" w:cs="Arial" w:eastAsia="Arial" w:hAnsi="Arial"/>
          <w:sz w:val="20"/>
          <w:szCs w:val="20"/>
        </w:rPr>
        <w:t xml:space="preserve">What proximity requirements do I have — to airports, hospitals, schools, shopping?</w:t>
      </w:r>
    </w:p>
    <w:p>
      <w:pPr>
        <w:spacing w:after="60" w:before="60"/>
      </w:pPr>
      <w:r>
        <w:t xml:space="preserve"/>
      </w:r>
    </w:p>
    <w:p>
      <w:pPr>
        <w:spacing w:after="80" w:before="80"/>
      </w:pPr>
      <w:r>
        <w:rPr>
          <w:rFonts w:ascii="Arial" w:cs="Arial" w:eastAsia="Arial" w:hAnsi="Arial"/>
          <w:b/>
          <w:bCs/>
          <w:color w:val="333333"/>
          <w:sz w:val="20"/>
          <w:szCs w:val="20"/>
        </w:rPr>
        <w:t xml:space="preserve">Activity-Specific Considerations:</w:t>
      </w:r>
    </w:p>
    <w:p>
      <w:pPr>
        <w:pStyle w:val="ListParagraph"/>
        <w:numPr>
          <w:ilvl w:val="0"/>
          <w:numId w:val="2"/>
        </w:numPr>
        <w:spacing w:after="60" w:before="60"/>
      </w:pPr>
      <w:r>
        <w:rPr>
          <w:rFonts w:ascii="Arial" w:cs="Arial" w:eastAsia="Arial" w:hAnsi="Arial"/>
          <w:sz w:val="20"/>
          <w:szCs w:val="20"/>
        </w:rPr>
        <w:t xml:space="preserve">Boating — research water depth, dock rights, access restrictions, and tidal patterns before committing</w:t>
      </w:r>
    </w:p>
    <w:p>
      <w:pPr>
        <w:pStyle w:val="ListParagraph"/>
        <w:numPr>
          <w:ilvl w:val="0"/>
          <w:numId w:val="2"/>
        </w:numPr>
        <w:spacing w:after="60" w:before="60"/>
      </w:pPr>
      <w:r>
        <w:rPr>
          <w:rFonts w:ascii="Arial" w:cs="Arial" w:eastAsia="Arial" w:hAnsi="Arial"/>
          <w:sz w:val="20"/>
          <w:szCs w:val="20"/>
        </w:rPr>
        <w:t xml:space="preserve">Golf — proximity to courses, country club membership availability and costs</w:t>
      </w:r>
    </w:p>
    <w:p>
      <w:pPr>
        <w:pStyle w:val="ListParagraph"/>
        <w:numPr>
          <w:ilvl w:val="0"/>
          <w:numId w:val="2"/>
        </w:numPr>
        <w:spacing w:after="60" w:before="60"/>
      </w:pPr>
      <w:r>
        <w:rPr>
          <w:rFonts w:ascii="Arial" w:cs="Arial" w:eastAsia="Arial" w:hAnsi="Arial"/>
          <w:sz w:val="20"/>
          <w:szCs w:val="20"/>
        </w:rPr>
        <w:t xml:space="preserve">Waterfront activities — distinguish between active water (jet skis, speedboats) and quiet water (kayaking, fishing)</w:t>
      </w:r>
    </w:p>
    <w:p>
      <w:pPr>
        <w:pStyle w:val="ListParagraph"/>
        <w:numPr>
          <w:ilvl w:val="0"/>
          <w:numId w:val="2"/>
        </w:numPr>
        <w:spacing w:after="60" w:before="60"/>
      </w:pPr>
      <w:r>
        <w:rPr>
          <w:rFonts w:ascii="Arial" w:cs="Arial" w:eastAsia="Arial" w:hAnsi="Arial"/>
          <w:sz w:val="20"/>
          <w:szCs w:val="20"/>
        </w:rPr>
        <w:t xml:space="preserve">Privacy — gated communities, acreage, and setback from roads</w:t>
      </w:r>
    </w:p>
    <w:p>
      <w:pPr>
        <w:pStyle w:val="ListParagraph"/>
        <w:numPr>
          <w:ilvl w:val="0"/>
          <w:numId w:val="2"/>
        </w:numPr>
        <w:spacing w:after="60" w:before="60"/>
      </w:pPr>
      <w:r>
        <w:rPr>
          <w:rFonts w:ascii="Arial" w:cs="Arial" w:eastAsia="Arial" w:hAnsi="Arial"/>
          <w:sz w:val="20"/>
          <w:szCs w:val="20"/>
        </w:rPr>
        <w:t xml:space="preserve">Entertaining — size of common areas, outdoor space, pool, kitchen layout</w:t>
      </w:r>
    </w:p>
    <w:p>
      <w:pPr>
        <w:spacing w:after="60" w:before="60"/>
      </w:pPr>
      <w:r>
        <w:t xml:space="preserve"/>
      </w:r>
    </w:p>
    <w:p>
      <w:pPr>
        <w:pBdr>
          <w:bottom w:val="single" w:color="C89B3C" w:sz="3"/>
        </w:pBdr>
        <w:spacing w:after="120" w:before="320"/>
      </w:pPr>
      <w:r>
        <w:rPr>
          <w:rFonts w:ascii="Arial" w:cs="Arial" w:eastAsia="Arial" w:hAnsi="Arial"/>
          <w:b/>
          <w:bCs/>
          <w:color w:val="0D1B2A"/>
          <w:sz w:val="22"/>
          <w:szCs w:val="22"/>
        </w:rPr>
        <w:t xml:space="preserve">PART 3 — FINDING BARGAINS IN HIGH-PRICED MARKETS</w:t>
      </w:r>
    </w:p>
    <w:p>
      <w:pPr>
        <w:spacing w:after="80" w:before="80"/>
      </w:pPr>
      <w:r>
        <w:rPr>
          <w:rFonts w:ascii="Arial" w:cs="Arial" w:eastAsia="Arial" w:hAnsi="Arial"/>
          <w:b w:val="false"/>
          <w:bCs w:val="false"/>
          <w:color w:val="333333"/>
          <w:sz w:val="20"/>
          <w:szCs w:val="20"/>
        </w:rPr>
        <w:t xml:space="preserve">Luxury doesn't have to mean full retail price. Experienced investors know where to find exceptional value:</w:t>
      </w:r>
    </w:p>
    <w:p>
      <w:pPr>
        <w:spacing w:after="60" w:before="60"/>
      </w:pPr>
      <w:r>
        <w:t xml:space="preserve"/>
      </w:r>
    </w:p>
    <w:p>
      <w:pPr>
        <w:pStyle w:val="ListParagraph"/>
        <w:numPr>
          <w:ilvl w:val="0"/>
          <w:numId w:val="2"/>
        </w:numPr>
        <w:spacing w:after="60" w:before="60"/>
      </w:pPr>
      <w:r>
        <w:rPr>
          <w:rFonts w:ascii="Arial" w:cs="Arial" w:eastAsia="Arial" w:hAnsi="Arial"/>
          <w:sz w:val="20"/>
          <w:szCs w:val="20"/>
        </w:rPr>
        <w:t xml:space="preserve">One or two streets from the water — dramatically lower prices with nearly the same access and views; second-row beach properties often drop 30–50% below waterfront prices</w:t>
      </w:r>
    </w:p>
    <w:p>
      <w:pPr>
        <w:pStyle w:val="ListParagraph"/>
        <w:numPr>
          <w:ilvl w:val="0"/>
          <w:numId w:val="2"/>
        </w:numPr>
        <w:spacing w:after="60" w:before="60"/>
      </w:pPr>
      <w:r>
        <w:rPr>
          <w:rFonts w:ascii="Arial" w:cs="Arial" w:eastAsia="Arial" w:hAnsi="Arial"/>
          <w:sz w:val="20"/>
          <w:szCs w:val="20"/>
        </w:rPr>
        <w:t xml:space="preserve">Rural and remote locations — distance from conveniences reduces price significantly; if the lifestyle suits you, the savings are substantial</w:t>
      </w:r>
    </w:p>
    <w:p>
      <w:pPr>
        <w:pStyle w:val="ListParagraph"/>
        <w:numPr>
          <w:ilvl w:val="0"/>
          <w:numId w:val="2"/>
        </w:numPr>
        <w:spacing w:after="60" w:before="60"/>
      </w:pPr>
      <w:r>
        <w:rPr>
          <w:rFonts w:ascii="Arial" w:cs="Arial" w:eastAsia="Arial" w:hAnsi="Arial"/>
          <w:sz w:val="20"/>
          <w:szCs w:val="20"/>
        </w:rPr>
        <w:t xml:space="preserve">Fixer-uppers and dated properties — luxury homes need renovation too; a cosmetically dated property in a prime location is often the best investment</w:t>
      </w:r>
    </w:p>
    <w:p>
      <w:pPr>
        <w:pStyle w:val="ListParagraph"/>
        <w:numPr>
          <w:ilvl w:val="0"/>
          <w:numId w:val="2"/>
        </w:numPr>
        <w:spacing w:after="60" w:before="60"/>
      </w:pPr>
      <w:r>
        <w:rPr>
          <w:rFonts w:ascii="Arial" w:cs="Arial" w:eastAsia="Arial" w:hAnsi="Arial"/>
          <w:sz w:val="20"/>
          <w:szCs w:val="20"/>
        </w:rPr>
        <w:t xml:space="preserve">Foreclosures and REO listings — luxury homeowners default; bank-owned luxury properties can be acquired at significant discounts</w:t>
      </w:r>
    </w:p>
    <w:p>
      <w:pPr>
        <w:pStyle w:val="ListParagraph"/>
        <w:numPr>
          <w:ilvl w:val="0"/>
          <w:numId w:val="2"/>
        </w:numPr>
        <w:spacing w:after="60" w:before="60"/>
      </w:pPr>
      <w:r>
        <w:rPr>
          <w:rFonts w:ascii="Arial" w:cs="Arial" w:eastAsia="Arial" w:hAnsi="Arial"/>
          <w:sz w:val="20"/>
          <w:szCs w:val="20"/>
        </w:rPr>
        <w:t xml:space="preserve">Government auctions — seized and surplus properties occasionally include luxury assets at auction prices</w:t>
      </w:r>
    </w:p>
    <w:p>
      <w:pPr>
        <w:pStyle w:val="ListParagraph"/>
        <w:numPr>
          <w:ilvl w:val="0"/>
          <w:numId w:val="2"/>
        </w:numPr>
        <w:spacing w:after="60" w:before="60"/>
      </w:pPr>
      <w:r>
        <w:rPr>
          <w:rFonts w:ascii="Arial" w:cs="Arial" w:eastAsia="Arial" w:hAnsi="Arial"/>
          <w:sz w:val="20"/>
          <w:szCs w:val="20"/>
        </w:rPr>
        <w:t xml:space="preserve">Condominiums — high-end condos deliver comparable views and amenities at a fraction of standalone home costs</w:t>
      </w:r>
    </w:p>
    <w:p>
      <w:pPr>
        <w:pStyle w:val="ListParagraph"/>
        <w:numPr>
          <w:ilvl w:val="0"/>
          <w:numId w:val="2"/>
        </w:numPr>
        <w:spacing w:after="60" w:before="60"/>
      </w:pPr>
      <w:r>
        <w:rPr>
          <w:rFonts w:ascii="Arial" w:cs="Arial" w:eastAsia="Arial" w:hAnsi="Arial"/>
          <w:sz w:val="20"/>
          <w:szCs w:val="20"/>
        </w:rPr>
        <w:t xml:space="preserve">Duplexes near water — live on one side, rent the other; many buyers fund their waterfront lifestyle through rental income</w:t>
      </w:r>
    </w:p>
    <w:p>
      <w:pPr>
        <w:spacing w:after="60" w:before="60"/>
      </w:pPr>
      <w:r>
        <w:t xml:space="preserve"/>
      </w:r>
    </w:p>
    <w:p>
      <w:pPr>
        <w:pBdr>
          <w:top w:val="single" w:color="C89B3C" w:sz="2"/>
          <w:bottom w:val="single" w:color="C89B3C" w:sz="2"/>
          <w:left w:val="single" w:color="C89B3C" w:sz="8"/>
          <w:right w:val="none"/>
        </w:pBdr>
        <w:shd w:fill="FFF8EC" w:val="clear"/>
        <w:spacing w:after="200" w:before="120"/>
        <w:ind w:left="160"/>
      </w:pPr>
      <w:r>
        <w:rPr>
          <w:rFonts w:ascii="Arial" w:cs="Arial" w:eastAsia="Arial" w:hAnsi="Arial"/>
          <w:i/>
          <w:iCs/>
          <w:color w:val="7B5C1A"/>
          <w:sz w:val="18"/>
          <w:szCs w:val="18"/>
        </w:rPr>
        <w:t xml:space="preserve">FORGE TIP: As a FORGE investor, use the Capital Radar and Deal Network to source off-market luxury and waterfront opportunities before they hit the public market.</w:t>
      </w:r>
    </w:p>
    <w:p>
      <w:pPr>
        <w:spacing w:after="60" w:before="60"/>
      </w:pPr>
      <w:r>
        <w:t xml:space="preserve"/>
      </w:r>
    </w:p>
    <w:p>
      <w:pPr>
        <w:pBdr>
          <w:bottom w:val="single" w:color="C89B3C" w:sz="3"/>
        </w:pBdr>
        <w:spacing w:after="120" w:before="320"/>
      </w:pPr>
      <w:r>
        <w:rPr>
          <w:rFonts w:ascii="Arial" w:cs="Arial" w:eastAsia="Arial" w:hAnsi="Arial"/>
          <w:b/>
          <w:bCs/>
          <w:color w:val="0D1B2A"/>
          <w:sz w:val="22"/>
          <w:szCs w:val="22"/>
        </w:rPr>
        <w:t xml:space="preserve">PART 4 — TOP 10 DOS AND DON'TS</w:t>
      </w:r>
    </w:p>
    <w:p>
      <w:pPr>
        <w:spacing w:after="60" w:before="60"/>
      </w:pPr>
      <w:r>
        <w:t xml:space="preserve"/>
      </w:r>
    </w:p>
    <w:p>
      <w:pPr>
        <w:pStyle w:val="ListParagraph"/>
        <w:numPr>
          <w:ilvl w:val="0"/>
          <w:numId w:val="3"/>
        </w:numPr>
        <w:spacing w:after="60" w:before="100"/>
      </w:pPr>
      <w:r>
        <w:rPr>
          <w:rFonts w:ascii="Arial" w:cs="Arial" w:eastAsia="Arial" w:hAnsi="Arial"/>
          <w:b/>
          <w:bCs/>
          <w:sz w:val="20"/>
          <w:szCs w:val="20"/>
        </w:rPr>
        <w:t xml:space="preserve">Verify weather resistance — coastal and waterfront properties face wind, salt, storms, and erosion. Build this into your repair and maintenance budget.</w:t>
      </w:r>
    </w:p>
    <w:p>
      <w:pPr>
        <w:pStyle w:val="ListParagraph"/>
        <w:numPr>
          <w:ilvl w:val="0"/>
          <w:numId w:val="3"/>
        </w:numPr>
        <w:spacing w:after="60" w:before="100"/>
      </w:pPr>
      <w:r>
        <w:rPr>
          <w:rFonts w:ascii="Arial" w:cs="Arial" w:eastAsia="Arial" w:hAnsi="Arial"/>
          <w:b/>
          <w:bCs/>
          <w:sz w:val="20"/>
          <w:szCs w:val="20"/>
        </w:rPr>
        <w:t xml:space="preserve">Check local regulations before closing — permits for pools, additions, docks, and structural changes vary significantly by municipality.</w:t>
      </w:r>
    </w:p>
    <w:p>
      <w:pPr>
        <w:pStyle w:val="ListParagraph"/>
        <w:numPr>
          <w:ilvl w:val="0"/>
          <w:numId w:val="3"/>
        </w:numPr>
        <w:spacing w:after="60" w:before="100"/>
      </w:pPr>
      <w:r>
        <w:rPr>
          <w:rFonts w:ascii="Arial" w:cs="Arial" w:eastAsia="Arial" w:hAnsi="Arial"/>
          <w:b/>
          <w:bCs/>
          <w:sz w:val="20"/>
          <w:szCs w:val="20"/>
        </w:rPr>
        <w:t xml:space="preserve">Review HOA documents thoroughly — conditions, covenants, and restrictions (CCRs) can limit what you can do with the property.</w:t>
      </w:r>
    </w:p>
    <w:p>
      <w:pPr>
        <w:pStyle w:val="ListParagraph"/>
        <w:numPr>
          <w:ilvl w:val="0"/>
          <w:numId w:val="3"/>
        </w:numPr>
        <w:spacing w:after="60" w:before="100"/>
      </w:pPr>
      <w:r>
        <w:rPr>
          <w:rFonts w:ascii="Arial" w:cs="Arial" w:eastAsia="Arial" w:hAnsi="Arial"/>
          <w:b/>
          <w:bCs/>
          <w:sz w:val="20"/>
          <w:szCs w:val="20"/>
        </w:rPr>
        <w:t xml:space="preserve">Inspect docks and seawalls — these require constant maintenance and full replacement every several years, especially in salt or brackish water.</w:t>
      </w:r>
    </w:p>
    <w:p>
      <w:pPr>
        <w:pStyle w:val="ListParagraph"/>
        <w:numPr>
          <w:ilvl w:val="0"/>
          <w:numId w:val="3"/>
        </w:numPr>
        <w:spacing w:after="60" w:before="100"/>
      </w:pPr>
      <w:r>
        <w:rPr>
          <w:rFonts w:ascii="Arial" w:cs="Arial" w:eastAsia="Arial" w:hAnsi="Arial"/>
          <w:b/>
          <w:bCs/>
          <w:sz w:val="20"/>
          <w:szCs w:val="20"/>
        </w:rPr>
        <w:t xml:space="preserve">Consider privacy needs — luxury homes attract attention. If privacy matters, choose gated communities or off-the-beaten-path locations.</w:t>
      </w:r>
    </w:p>
    <w:p>
      <w:pPr>
        <w:pStyle w:val="ListParagraph"/>
        <w:numPr>
          <w:ilvl w:val="0"/>
          <w:numId w:val="3"/>
        </w:numPr>
        <w:spacing w:after="60" w:before="100"/>
      </w:pPr>
      <w:r>
        <w:rPr>
          <w:rFonts w:ascii="Arial" w:cs="Arial" w:eastAsia="Arial" w:hAnsi="Arial"/>
          <w:b/>
          <w:bCs/>
          <w:sz w:val="20"/>
          <w:szCs w:val="20"/>
        </w:rPr>
        <w:t xml:space="preserve">Investigate erosion history — check with county inspectors, review the site at high and low tide, and talk to neighbors about any history of shoreline issues.</w:t>
      </w:r>
    </w:p>
    <w:p>
      <w:pPr>
        <w:pStyle w:val="ListParagraph"/>
        <w:numPr>
          <w:ilvl w:val="0"/>
          <w:numId w:val="3"/>
        </w:numPr>
        <w:spacing w:after="60" w:before="100"/>
      </w:pPr>
      <w:r>
        <w:rPr>
          <w:rFonts w:ascii="Arial" w:cs="Arial" w:eastAsia="Arial" w:hAnsi="Arial"/>
          <w:b/>
          <w:bCs/>
          <w:sz w:val="20"/>
          <w:szCs w:val="20"/>
        </w:rPr>
        <w:t xml:space="preserve">Ensure water safety for your household — if purchasing waterfront property, all occupants should be competent swimmers.</w:t>
      </w:r>
    </w:p>
    <w:p>
      <w:pPr>
        <w:pStyle w:val="ListParagraph"/>
        <w:numPr>
          <w:ilvl w:val="0"/>
          <w:numId w:val="3"/>
        </w:numPr>
        <w:spacing w:after="60" w:before="100"/>
      </w:pPr>
      <w:r>
        <w:rPr>
          <w:rFonts w:ascii="Arial" w:cs="Arial" w:eastAsia="Arial" w:hAnsi="Arial"/>
          <w:b/>
          <w:bCs/>
          <w:sz w:val="20"/>
          <w:szCs w:val="20"/>
        </w:rPr>
        <w:t xml:space="preserve">Hurricane-proof coastal properties — storm shutters and premium roofing are expensive upfront and essential for protection and resale.</w:t>
      </w:r>
    </w:p>
    <w:p>
      <w:pPr>
        <w:pStyle w:val="ListParagraph"/>
        <w:numPr>
          <w:ilvl w:val="0"/>
          <w:numId w:val="3"/>
        </w:numPr>
        <w:spacing w:after="60" w:before="100"/>
      </w:pPr>
      <w:r>
        <w:rPr>
          <w:rFonts w:ascii="Arial" w:cs="Arial" w:eastAsia="Arial" w:hAnsi="Arial"/>
          <w:b/>
          <w:bCs/>
          <w:sz w:val="20"/>
          <w:szCs w:val="20"/>
        </w:rPr>
        <w:t xml:space="preserve">Budget for thorough inspections — luxury properties are larger and more complex. Multiple inspections are standard and necessary.</w:t>
      </w:r>
    </w:p>
    <w:p>
      <w:pPr>
        <w:pStyle w:val="ListParagraph"/>
        <w:numPr>
          <w:ilvl w:val="0"/>
          <w:numId w:val="3"/>
        </w:numPr>
        <w:spacing w:after="60" w:before="100"/>
      </w:pPr>
      <w:r>
        <w:rPr>
          <w:rFonts w:ascii="Arial" w:cs="Arial" w:eastAsia="Arial" w:hAnsi="Arial"/>
          <w:b/>
          <w:bCs/>
          <w:sz w:val="20"/>
          <w:szCs w:val="20"/>
        </w:rPr>
        <w:t xml:space="preserve">Work with a specialist — the right agent, attorney, and inspector pay for themselves many times over in a luxury transaction.</w:t>
      </w:r>
    </w:p>
    <w:p>
      <w:pPr>
        <w:spacing w:after="60" w:before="60"/>
      </w:pPr>
      <w:r>
        <w:t xml:space="preserve"/>
      </w:r>
    </w:p>
    <w:p>
      <w:pPr>
        <w:pBdr>
          <w:bottom w:val="single" w:color="C89B3C" w:sz="3"/>
        </w:pBdr>
        <w:spacing w:after="120" w:before="320"/>
      </w:pPr>
      <w:r>
        <w:rPr>
          <w:rFonts w:ascii="Arial" w:cs="Arial" w:eastAsia="Arial" w:hAnsi="Arial"/>
          <w:b/>
          <w:bCs/>
          <w:color w:val="0D1B2A"/>
          <w:sz w:val="22"/>
          <w:szCs w:val="22"/>
        </w:rPr>
        <w:t xml:space="preserve">WRAP UP</w:t>
      </w:r>
    </w:p>
    <w:p>
      <w:pPr>
        <w:spacing w:after="80" w:before="80"/>
      </w:pPr>
      <w:r>
        <w:rPr>
          <w:rFonts w:ascii="Arial" w:cs="Arial" w:eastAsia="Arial" w:hAnsi="Arial"/>
          <w:b w:val="false"/>
          <w:bCs w:val="false"/>
          <w:color w:val="333333"/>
          <w:sz w:val="20"/>
          <w:szCs w:val="20"/>
        </w:rPr>
        <w:t xml:space="preserve">Buying a vacation, waterfront, or luxury property is one of the most rewarding real estate transactions — and one of the most demanding. The investors and buyers who succeed in this segment are the ones who prepare thoroughly, define their needs clearly, build the right team, and act decisively when the right opportunity appears.</w:t>
      </w:r>
    </w:p>
    <w:p>
      <w:pPr>
        <w:spacing w:after="60" w:before="60"/>
      </w:pPr>
      <w:r>
        <w:t xml:space="preserve"/>
      </w:r>
    </w:p>
    <w:p>
      <w:pPr>
        <w:pBdr>
          <w:top w:val="single" w:color="C89B3C" w:sz="2"/>
          <w:bottom w:val="single" w:color="C89B3C" w:sz="2"/>
          <w:left w:val="single" w:color="C89B3C" w:sz="8"/>
          <w:right w:val="none"/>
        </w:pBdr>
        <w:shd w:fill="F0F4F9" w:val="clear"/>
        <w:spacing w:after="200" w:before="120"/>
        <w:ind w:left="160"/>
      </w:pPr>
      <w:r>
        <w:rPr>
          <w:rFonts w:ascii="Arial" w:cs="Arial" w:eastAsia="Arial" w:hAnsi="Arial"/>
          <w:b/>
          <w:bCs/>
          <w:color w:val="0D1B2A"/>
          <w:sz w:val="20"/>
          <w:szCs w:val="20"/>
        </w:rPr>
        <w:t xml:space="preserve">Use ARIS to analyze luxury deals, run multi-year projections, and develop your acquisition strategy before you make an offer.</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5eb292bf0d7634b88cd447ceca16d5774537a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2026-06-13T23:01:11.028Z</dcterms:created>
  <dcterms:modified xsi:type="dcterms:W3CDTF">2026-06-13T23:01:11.028Z</dcterms:modified>
</cp:coreProperties>
</file>

<file path=docProps/custom.xml><?xml version="1.0" encoding="utf-8"?>
<Properties xmlns="http://schemas.openxmlformats.org/officeDocument/2006/custom-properties" xmlns:vt="http://schemas.openxmlformats.org/officeDocument/2006/docPropsVTypes"/>
</file>