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Arial" w:cs="Arial" w:eastAsia="Arial" w:hAnsi="Arial"/>
          <w:b/>
          <w:bCs/>
          <w:color w:val="0D1B2A"/>
          <w:sz w:val="36"/>
          <w:szCs w:val="36"/>
        </w:rPr>
        <w:t xml:space="preserve">Financing &amp; Raising Capital</w:t>
      </w:r>
    </w:p>
    <w:p>
      <w:pPr>
        <w:spacing w:after="80" w:before="80"/>
      </w:pPr>
      <w:r>
        <w:rPr>
          <w:rFonts w:ascii="Arial" w:cs="Arial" w:eastAsia="Arial" w:hAnsi="Arial"/>
          <w:sz w:val="22"/>
          <w:szCs w:val="22"/>
        </w:rPr>
        <w:t xml:space="preserve">A comprehensive curriculum guide for real estate investors on hard money, private money, and creative financing strategies.</w:t>
      </w:r>
    </w:p>
    <w:p>
      <w:r>
        <w:t xml:space="preserve"/>
      </w:r>
    </w:p>
    <w:p>
      <w:pPr>
        <w:pBdr>
          <w:bottom w:val="single" w:color="C89B3C" w:sz="4" w:space="4"/>
        </w:pBdr>
        <w:spacing w:after="160" w:before="320"/>
      </w:pPr>
      <w:r>
        <w:rPr>
          <w:rFonts w:ascii="Arial" w:cs="Arial" w:eastAsia="Arial" w:hAnsi="Arial"/>
          <w:b/>
          <w:bCs/>
          <w:color w:val="0D1B2A"/>
          <w:sz w:val="28"/>
          <w:szCs w:val="28"/>
        </w:rPr>
        <w:t xml:space="preserve">INTRODUCTION</w:t>
      </w:r>
    </w:p>
    <w:p>
      <w:r>
        <w:t xml:space="preserve"/>
      </w:r>
    </w:p>
    <w:p>
      <w:pPr>
        <w:spacing w:after="80" w:before="80"/>
      </w:pPr>
      <w:r>
        <w:rPr>
          <w:rFonts w:ascii="Arial" w:cs="Arial" w:eastAsia="Arial" w:hAnsi="Arial"/>
          <w:sz w:val="22"/>
          <w:szCs w:val="22"/>
        </w:rPr>
        <w:t xml:space="preserve">In real estate, financing makes the world go round. To be successful, you need to control or purchase properties with relatively small amounts of your own money. When you're starting out, finding capital for your first deal is the biggest challenge. Once you gain experience, you can leverage multiple financing methods simultaneously.</w:t>
      </w:r>
    </w:p>
    <w:p>
      <w:r>
        <w:t xml:space="preserve"/>
      </w:r>
    </w:p>
    <w:p>
      <w:pPr>
        <w:spacing w:after="80" w:before="80"/>
      </w:pPr>
      <w:r>
        <w:rPr>
          <w:rFonts w:ascii="Arial" w:cs="Arial" w:eastAsia="Arial" w:hAnsi="Arial"/>
          <w:sz w:val="22"/>
          <w:szCs w:val="22"/>
        </w:rPr>
        <w:t xml:space="preserve">This guide covers the primary financing tools available to real estate investors: hard money, private money, and creative financing. Mastering all three gives you maximum flexibility across different market conditions and deal types.</w:t>
      </w:r>
    </w:p>
    <w:p>
      <w:r>
        <w:t xml:space="preserve"/>
      </w:r>
    </w:p>
    <w:p>
      <w:pPr>
        <w:pBdr>
          <w:bottom w:val="single" w:color="C89B3C" w:sz="4" w:space="4"/>
        </w:pBdr>
        <w:spacing w:after="160" w:before="320"/>
      </w:pPr>
      <w:r>
        <w:rPr>
          <w:rFonts w:ascii="Arial" w:cs="Arial" w:eastAsia="Arial" w:hAnsi="Arial"/>
          <w:b/>
          <w:bCs/>
          <w:color w:val="0D1B2A"/>
          <w:sz w:val="28"/>
          <w:szCs w:val="28"/>
        </w:rPr>
        <w:t xml:space="preserve">CHAPTER 1 — HARD MONEY LOANS</w:t>
      </w:r>
    </w:p>
    <w:p>
      <w:r>
        <w:t xml:space="preserve"/>
      </w:r>
    </w:p>
    <w:p>
      <w:pPr>
        <w:spacing w:after="80" w:before="80"/>
      </w:pPr>
      <w:r>
        <w:rPr>
          <w:rFonts w:ascii="Arial" w:cs="Arial" w:eastAsia="Arial" w:hAnsi="Arial"/>
          <w:sz w:val="22"/>
          <w:szCs w:val="22"/>
        </w:rPr>
        <w:t xml:space="preserve">Hard money loans are short-term, asset-based loans from institutional lenders. The name does not mean they're difficult to get — it refers to the "hard" asset (real property) securing the loan. Hard money lenders base their approval primarily on the value of the property, not your personal credit profile.</w:t>
      </w:r>
    </w:p>
    <w:p>
      <w:r>
        <w:t xml:space="preserve"/>
      </w:r>
    </w:p>
    <w:p>
      <w:pPr>
        <w:spacing w:after="100" w:before="240"/>
      </w:pPr>
      <w:r>
        <w:rPr>
          <w:rFonts w:ascii="Arial" w:cs="Arial" w:eastAsia="Arial" w:hAnsi="Arial"/>
          <w:b/>
          <w:bCs/>
          <w:color w:val="0D1B2A"/>
          <w:sz w:val="24"/>
          <w:szCs w:val="24"/>
        </w:rPr>
        <w:t xml:space="preserve">Key Characteristics</w:t>
      </w:r>
    </w:p>
    <w:p>
      <w:pPr>
        <w:pStyle w:val="ListParagraph"/>
        <w:numPr>
          <w:ilvl w:val="0"/>
          <w:numId w:val="2"/>
        </w:numPr>
        <w:spacing w:after="60" w:before="60"/>
      </w:pPr>
      <w:r>
        <w:rPr>
          <w:rFonts w:ascii="Arial" w:cs="Arial" w:eastAsia="Arial" w:hAnsi="Arial"/>
          <w:sz w:val="22"/>
          <w:szCs w:val="22"/>
        </w:rPr>
        <w:t xml:space="preserve">Lend 60–75% of After Repair Value (ARV)</w:t>
      </w:r>
    </w:p>
    <w:p>
      <w:pPr>
        <w:pStyle w:val="ListParagraph"/>
        <w:numPr>
          <w:ilvl w:val="0"/>
          <w:numId w:val="2"/>
        </w:numPr>
        <w:spacing w:after="60" w:before="60"/>
      </w:pPr>
      <w:r>
        <w:rPr>
          <w:rFonts w:ascii="Arial" w:cs="Arial" w:eastAsia="Arial" w:hAnsi="Arial"/>
          <w:sz w:val="22"/>
          <w:szCs w:val="22"/>
        </w:rPr>
        <w:t xml:space="preserve">Typical loan term: 6–12 months</w:t>
      </w:r>
    </w:p>
    <w:p>
      <w:pPr>
        <w:pStyle w:val="ListParagraph"/>
        <w:numPr>
          <w:ilvl w:val="0"/>
          <w:numId w:val="2"/>
        </w:numPr>
        <w:spacing w:after="60" w:before="60"/>
      </w:pPr>
      <w:r>
        <w:rPr>
          <w:rFonts w:ascii="Arial" w:cs="Arial" w:eastAsia="Arial" w:hAnsi="Arial"/>
          <w:sz w:val="22"/>
          <w:szCs w:val="22"/>
        </w:rPr>
        <w:t xml:space="preserve">Fees: 3–5 points up front + 11–15% interest</w:t>
      </w:r>
    </w:p>
    <w:p>
      <w:pPr>
        <w:pStyle w:val="ListParagraph"/>
        <w:numPr>
          <w:ilvl w:val="0"/>
          <w:numId w:val="2"/>
        </w:numPr>
        <w:spacing w:after="60" w:before="60"/>
      </w:pPr>
      <w:r>
        <w:rPr>
          <w:rFonts w:ascii="Arial" w:cs="Arial" w:eastAsia="Arial" w:hAnsi="Arial"/>
          <w:sz w:val="22"/>
          <w:szCs w:val="22"/>
        </w:rPr>
        <w:t xml:space="preserve">Close in 7–14 business days</w:t>
      </w:r>
    </w:p>
    <w:p>
      <w:pPr>
        <w:pStyle w:val="ListParagraph"/>
        <w:numPr>
          <w:ilvl w:val="0"/>
          <w:numId w:val="2"/>
        </w:numPr>
        <w:spacing w:after="60" w:before="60"/>
      </w:pPr>
      <w:r>
        <w:rPr>
          <w:rFonts w:ascii="Arial" w:cs="Arial" w:eastAsia="Arial" w:hAnsi="Arial"/>
          <w:sz w:val="22"/>
          <w:szCs w:val="22"/>
        </w:rPr>
        <w:t xml:space="preserve">Usually require personal guarantee</w:t>
      </w:r>
    </w:p>
    <w:p>
      <w:pPr>
        <w:pStyle w:val="ListParagraph"/>
        <w:numPr>
          <w:ilvl w:val="0"/>
          <w:numId w:val="2"/>
        </w:numPr>
        <w:spacing w:after="60" w:before="60"/>
      </w:pPr>
      <w:r>
        <w:rPr>
          <w:rFonts w:ascii="Arial" w:cs="Arial" w:eastAsia="Arial" w:hAnsi="Arial"/>
          <w:sz w:val="22"/>
          <w:szCs w:val="22"/>
        </w:rPr>
        <w:t xml:space="preserve">Ideal for fix-and-flip transactions</w:t>
      </w:r>
    </w:p>
    <w:p>
      <w:r>
        <w:t xml:space="preserve"/>
      </w:r>
    </w:p>
    <w:p>
      <w:pPr>
        <w:spacing w:after="100" w:before="240"/>
      </w:pPr>
      <w:r>
        <w:rPr>
          <w:rFonts w:ascii="Arial" w:cs="Arial" w:eastAsia="Arial" w:hAnsi="Arial"/>
          <w:b/>
          <w:bCs/>
          <w:color w:val="0D1B2A"/>
          <w:sz w:val="24"/>
          <w:szCs w:val="24"/>
        </w:rPr>
        <w:t xml:space="preserve">What to Watch For</w:t>
      </w:r>
    </w:p>
    <w:p>
      <w:pPr>
        <w:pStyle w:val="ListParagraph"/>
        <w:numPr>
          <w:ilvl w:val="0"/>
          <w:numId w:val="2"/>
        </w:numPr>
        <w:spacing w:after="60" w:before="60"/>
      </w:pPr>
      <w:r>
        <w:rPr>
          <w:rFonts w:ascii="Arial" w:cs="Arial" w:eastAsia="Arial" w:hAnsi="Arial"/>
          <w:sz w:val="22"/>
          <w:szCs w:val="22"/>
        </w:rPr>
        <w:t xml:space="preserve">Property restrictions — most lend on 1–4 family residential only</w:t>
      </w:r>
    </w:p>
    <w:p>
      <w:pPr>
        <w:pStyle w:val="ListParagraph"/>
        <w:numPr>
          <w:ilvl w:val="0"/>
          <w:numId w:val="2"/>
        </w:numPr>
        <w:spacing w:after="60" w:before="60"/>
      </w:pPr>
      <w:r>
        <w:rPr>
          <w:rFonts w:ascii="Arial" w:cs="Arial" w:eastAsia="Arial" w:hAnsi="Arial"/>
          <w:sz w:val="22"/>
          <w:szCs w:val="22"/>
        </w:rPr>
        <w:t xml:space="preserve">Rate increases if you go past the agreed loan term</w:t>
      </w:r>
    </w:p>
    <w:p>
      <w:pPr>
        <w:pStyle w:val="ListParagraph"/>
        <w:numPr>
          <w:ilvl w:val="0"/>
          <w:numId w:val="2"/>
        </w:numPr>
        <w:spacing w:after="60" w:before="60"/>
      </w:pPr>
      <w:r>
        <w:rPr>
          <w:rFonts w:ascii="Arial" w:cs="Arial" w:eastAsia="Arial" w:hAnsi="Arial"/>
          <w:sz w:val="22"/>
          <w:szCs w:val="22"/>
        </w:rPr>
        <w:t xml:space="preserve">Extension policies vary by lender — negotiate upfront</w:t>
      </w:r>
    </w:p>
    <w:p>
      <w:pPr>
        <w:pStyle w:val="ListParagraph"/>
        <w:numPr>
          <w:ilvl w:val="0"/>
          <w:numId w:val="2"/>
        </w:numPr>
        <w:spacing w:after="60" w:before="60"/>
      </w:pPr>
      <w:r>
        <w:rPr>
          <w:rFonts w:ascii="Arial" w:cs="Arial" w:eastAsia="Arial" w:hAnsi="Arial"/>
          <w:sz w:val="22"/>
          <w:szCs w:val="22"/>
        </w:rPr>
        <w:t xml:space="preserve">Always build the lender relationship — communication is key</w:t>
      </w:r>
    </w:p>
    <w:p>
      <w:r>
        <w:t xml:space="preserve"/>
      </w:r>
    </w:p>
    <w:p>
      <w:pPr>
        <w:spacing w:after="100" w:before="240"/>
      </w:pPr>
      <w:r>
        <w:rPr>
          <w:rFonts w:ascii="Arial" w:cs="Arial" w:eastAsia="Arial" w:hAnsi="Arial"/>
          <w:b/>
          <w:bCs/>
          <w:color w:val="0D1B2A"/>
          <w:sz w:val="24"/>
          <w:szCs w:val="24"/>
        </w:rPr>
        <w:t xml:space="preserve">How to Find Hard Money Lenders</w:t>
      </w:r>
    </w:p>
    <w:p>
      <w:pPr>
        <w:pStyle w:val="ListParagraph"/>
        <w:numPr>
          <w:ilvl w:val="0"/>
          <w:numId w:val="2"/>
        </w:numPr>
        <w:spacing w:after="60" w:before="60"/>
      </w:pPr>
      <w:r>
        <w:rPr>
          <w:rFonts w:ascii="Arial" w:cs="Arial" w:eastAsia="Arial" w:hAnsi="Arial"/>
          <w:sz w:val="22"/>
          <w:szCs w:val="22"/>
        </w:rPr>
        <w:t xml:space="preserve">Local Real Estate Investors Association (REIA) meetings</w:t>
      </w:r>
    </w:p>
    <w:p>
      <w:pPr>
        <w:pStyle w:val="ListParagraph"/>
        <w:numPr>
          <w:ilvl w:val="0"/>
          <w:numId w:val="2"/>
        </w:numPr>
        <w:spacing w:after="60" w:before="60"/>
      </w:pPr>
      <w:r>
        <w:rPr>
          <w:rFonts w:ascii="Arial" w:cs="Arial" w:eastAsia="Arial" w:hAnsi="Arial"/>
          <w:sz w:val="22"/>
          <w:szCs w:val="22"/>
        </w:rPr>
        <w:t xml:space="preserve">Referrals from other investors and wholesalers</w:t>
      </w:r>
    </w:p>
    <w:p>
      <w:pPr>
        <w:pStyle w:val="ListParagraph"/>
        <w:numPr>
          <w:ilvl w:val="0"/>
          <w:numId w:val="2"/>
        </w:numPr>
        <w:spacing w:after="60" w:before="60"/>
      </w:pPr>
      <w:r>
        <w:rPr>
          <w:rFonts w:ascii="Arial" w:cs="Arial" w:eastAsia="Arial" w:hAnsi="Arial"/>
          <w:sz w:val="22"/>
          <w:szCs w:val="22"/>
        </w:rPr>
        <w:t xml:space="preserve">Online directories (Connected Investors, BiggerPockets)</w:t>
      </w:r>
    </w:p>
    <w:p>
      <w:pPr>
        <w:pStyle w:val="ListParagraph"/>
        <w:numPr>
          <w:ilvl w:val="0"/>
          <w:numId w:val="2"/>
        </w:numPr>
        <w:spacing w:after="60" w:before="60"/>
      </w:pPr>
      <w:r>
        <w:rPr>
          <w:rFonts w:ascii="Arial" w:cs="Arial" w:eastAsia="Arial" w:hAnsi="Arial"/>
          <w:sz w:val="22"/>
          <w:szCs w:val="22"/>
        </w:rPr>
        <w:t xml:space="preserve">Title companies and real estate attorneys</w:t>
      </w:r>
    </w:p>
    <w:p>
      <w:r>
        <w:t xml:space="preserve"/>
      </w:r>
    </w:p>
    <w:p>
      <w:pPr>
        <w:spacing w:after="100" w:before="240"/>
      </w:pPr>
      <w:r>
        <w:rPr>
          <w:rFonts w:ascii="Arial" w:cs="Arial" w:eastAsia="Arial" w:hAnsi="Arial"/>
          <w:b/>
          <w:bCs/>
          <w:color w:val="0D1B2A"/>
          <w:sz w:val="24"/>
          <w:szCs w:val="24"/>
        </w:rPr>
        <w:t xml:space="preserve">Hard Money Lender Evaluation Criteria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c>
          <w:tcPr>
            <w:tcW w:type="dxa" w:w="3360"/>
            <w:shd w:fill="0D1B2A"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6720"/>
            <w:shd w:fill="0D1B2A" w:val="clear"/>
            <w:tcMar>
              <w:top w:type="dxa" w:w="80"/>
              <w:left w:type="dxa" w:w="120"/>
              <w:bottom w:type="dxa" w:w="80"/>
              <w:right w:type="dxa" w:w="120"/>
            </w:tcMar>
          </w:tcPr>
          <w:p>
            <w:r>
              <w:rPr>
                <w:rFonts w:ascii="Arial" w:cs="Arial" w:eastAsia="Arial" w:hAnsi="Arial"/>
                <w:b/>
                <w:bCs/>
                <w:color w:val="FFFFFF"/>
                <w:sz w:val="20"/>
                <w:szCs w:val="20"/>
              </w:rPr>
              <w:t xml:space="preserve">WHAT TO ASK</w:t>
            </w:r>
          </w:p>
        </w:tc>
      </w:tr>
      <w:tr>
        <w:tc>
          <w:tcPr>
            <w:tcW w:type="dxa" w:w="3360"/>
            <w:shd w:fill="F2F4F6" w:val="clear"/>
            <w:tcMar>
              <w:top w:type="dxa" w:w="60"/>
              <w:left w:type="dxa" w:w="120"/>
              <w:bottom w:type="dxa" w:w="60"/>
              <w:right w:type="dxa" w:w="120"/>
            </w:tcMar>
          </w:tcPr>
          <w:p>
            <w:r>
              <w:rPr>
                <w:rFonts w:ascii="Arial" w:cs="Arial" w:eastAsia="Arial" w:hAnsi="Arial"/>
                <w:b/>
                <w:bCs/>
                <w:sz w:val="20"/>
                <w:szCs w:val="20"/>
              </w:rPr>
              <w:t xml:space="preserve">LTV / ARV Ratio</w:t>
            </w:r>
          </w:p>
        </w:tc>
        <w:tc>
          <w:tcPr>
            <w:tcW w:type="dxa" w:w="6720"/>
            <w:tcMar>
              <w:top w:type="dxa" w:w="60"/>
              <w:left w:type="dxa" w:w="120"/>
              <w:bottom w:type="dxa" w:w="60"/>
              <w:right w:type="dxa" w:w="120"/>
            </w:tcMar>
          </w:tcPr>
          <w:p>
            <w:r>
              <w:rPr>
                <w:rFonts w:ascii="Arial" w:cs="Arial" w:eastAsia="Arial" w:hAnsi="Arial"/>
                <w:sz w:val="20"/>
                <w:szCs w:val="20"/>
              </w:rPr>
              <w:t xml:space="preserve">What % of ARV do you lend? Do you include rehab in the loan?</w:t>
            </w:r>
          </w:p>
        </w:tc>
      </w:tr>
      <w:tr>
        <w:tc>
          <w:tcPr>
            <w:tcW w:type="dxa" w:w="3360"/>
            <w:shd w:fill="F2F4F6" w:val="clear"/>
            <w:tcMar>
              <w:top w:type="dxa" w:w="60"/>
              <w:left w:type="dxa" w:w="120"/>
              <w:bottom w:type="dxa" w:w="60"/>
              <w:right w:type="dxa" w:w="120"/>
            </w:tcMar>
          </w:tcPr>
          <w:p>
            <w:r>
              <w:rPr>
                <w:rFonts w:ascii="Arial" w:cs="Arial" w:eastAsia="Arial" w:hAnsi="Arial"/>
                <w:b/>
                <w:bCs/>
                <w:sz w:val="20"/>
                <w:szCs w:val="20"/>
              </w:rPr>
              <w:t xml:space="preserve">Points &amp; Rate</w:t>
            </w:r>
          </w:p>
        </w:tc>
        <w:tc>
          <w:tcPr>
            <w:tcW w:type="dxa" w:w="6720"/>
            <w:tcMar>
              <w:top w:type="dxa" w:w="60"/>
              <w:left w:type="dxa" w:w="120"/>
              <w:bottom w:type="dxa" w:w="60"/>
              <w:right w:type="dxa" w:w="120"/>
            </w:tcMar>
          </w:tcPr>
          <w:p>
            <w:r>
              <w:rPr>
                <w:rFonts w:ascii="Arial" w:cs="Arial" w:eastAsia="Arial" w:hAnsi="Arial"/>
                <w:sz w:val="20"/>
                <w:szCs w:val="20"/>
              </w:rPr>
              <w:t xml:space="preserve">What are your points and interest rate? Are they negotiable?</w:t>
            </w:r>
          </w:p>
        </w:tc>
      </w:tr>
      <w:tr>
        <w:tc>
          <w:tcPr>
            <w:tcW w:type="dxa" w:w="3360"/>
            <w:shd w:fill="F2F4F6" w:val="clear"/>
            <w:tcMar>
              <w:top w:type="dxa" w:w="60"/>
              <w:left w:type="dxa" w:w="120"/>
              <w:bottom w:type="dxa" w:w="60"/>
              <w:right w:type="dxa" w:w="120"/>
            </w:tcMar>
          </w:tcPr>
          <w:p>
            <w:r>
              <w:rPr>
                <w:rFonts w:ascii="Arial" w:cs="Arial" w:eastAsia="Arial" w:hAnsi="Arial"/>
                <w:b/>
                <w:bCs/>
                <w:sz w:val="20"/>
                <w:szCs w:val="20"/>
              </w:rPr>
              <w:t xml:space="preserve">Loan Term</w:t>
            </w:r>
          </w:p>
        </w:tc>
        <w:tc>
          <w:tcPr>
            <w:tcW w:type="dxa" w:w="6720"/>
            <w:tcMar>
              <w:top w:type="dxa" w:w="60"/>
              <w:left w:type="dxa" w:w="120"/>
              <w:bottom w:type="dxa" w:w="60"/>
              <w:right w:type="dxa" w:w="120"/>
            </w:tcMar>
          </w:tcPr>
          <w:p>
            <w:r>
              <w:rPr>
                <w:rFonts w:ascii="Arial" w:cs="Arial" w:eastAsia="Arial" w:hAnsi="Arial"/>
                <w:sz w:val="20"/>
                <w:szCs w:val="20"/>
              </w:rPr>
              <w:t xml:space="preserve">What's the standard term? Is extension available, and at what cost?</w:t>
            </w:r>
          </w:p>
        </w:tc>
      </w:tr>
      <w:tr>
        <w:tc>
          <w:tcPr>
            <w:tcW w:type="dxa" w:w="3360"/>
            <w:shd w:fill="F2F4F6" w:val="clear"/>
            <w:tcMar>
              <w:top w:type="dxa" w:w="60"/>
              <w:left w:type="dxa" w:w="120"/>
              <w:bottom w:type="dxa" w:w="60"/>
              <w:right w:type="dxa" w:w="120"/>
            </w:tcMar>
          </w:tcPr>
          <w:p>
            <w:r>
              <w:rPr>
                <w:rFonts w:ascii="Arial" w:cs="Arial" w:eastAsia="Arial" w:hAnsi="Arial"/>
                <w:b/>
                <w:bCs/>
                <w:sz w:val="20"/>
                <w:szCs w:val="20"/>
              </w:rPr>
              <w:t xml:space="preserve">Rehab Draws</w:t>
            </w:r>
          </w:p>
        </w:tc>
        <w:tc>
          <w:tcPr>
            <w:tcW w:type="dxa" w:w="6720"/>
            <w:tcMar>
              <w:top w:type="dxa" w:w="60"/>
              <w:left w:type="dxa" w:w="120"/>
              <w:bottom w:type="dxa" w:w="60"/>
              <w:right w:type="dxa" w:w="120"/>
            </w:tcMar>
          </w:tcPr>
          <w:p>
            <w:r>
              <w:rPr>
                <w:rFonts w:ascii="Arial" w:cs="Arial" w:eastAsia="Arial" w:hAnsi="Arial"/>
                <w:sz w:val="20"/>
                <w:szCs w:val="20"/>
              </w:rPr>
              <w:t xml:space="preserve">Do you fund rehab in draws or all at once? What's the draw process?</w:t>
            </w:r>
          </w:p>
        </w:tc>
      </w:tr>
      <w:tr>
        <w:tc>
          <w:tcPr>
            <w:tcW w:type="dxa" w:w="3360"/>
            <w:shd w:fill="F2F4F6" w:val="clear"/>
            <w:tcMar>
              <w:top w:type="dxa" w:w="60"/>
              <w:left w:type="dxa" w:w="120"/>
              <w:bottom w:type="dxa" w:w="60"/>
              <w:right w:type="dxa" w:w="120"/>
            </w:tcMar>
          </w:tcPr>
          <w:p>
            <w:r>
              <w:rPr>
                <w:rFonts w:ascii="Arial" w:cs="Arial" w:eastAsia="Arial" w:hAnsi="Arial"/>
                <w:b/>
                <w:bCs/>
                <w:sz w:val="20"/>
                <w:szCs w:val="20"/>
              </w:rPr>
              <w:t xml:space="preserve">Personal Guarantee</w:t>
            </w:r>
          </w:p>
        </w:tc>
        <w:tc>
          <w:tcPr>
            <w:tcW w:type="dxa" w:w="6720"/>
            <w:tcMar>
              <w:top w:type="dxa" w:w="60"/>
              <w:left w:type="dxa" w:w="120"/>
              <w:bottom w:type="dxa" w:w="60"/>
              <w:right w:type="dxa" w:w="120"/>
            </w:tcMar>
          </w:tcPr>
          <w:p>
            <w:r>
              <w:rPr>
                <w:rFonts w:ascii="Arial" w:cs="Arial" w:eastAsia="Arial" w:hAnsi="Arial"/>
                <w:sz w:val="20"/>
                <w:szCs w:val="20"/>
              </w:rPr>
              <w:t xml:space="preserve">Is a personal guarantee required?</w:t>
            </w:r>
          </w:p>
        </w:tc>
      </w:tr>
      <w:tr>
        <w:tc>
          <w:tcPr>
            <w:tcW w:type="dxa" w:w="3360"/>
            <w:shd w:fill="F2F4F6" w:val="clear"/>
            <w:tcMar>
              <w:top w:type="dxa" w:w="60"/>
              <w:left w:type="dxa" w:w="120"/>
              <w:bottom w:type="dxa" w:w="60"/>
              <w:right w:type="dxa" w:w="120"/>
            </w:tcMar>
          </w:tcPr>
          <w:p>
            <w:r>
              <w:rPr>
                <w:rFonts w:ascii="Arial" w:cs="Arial" w:eastAsia="Arial" w:hAnsi="Arial"/>
                <w:b/>
                <w:bCs/>
                <w:sz w:val="20"/>
                <w:szCs w:val="20"/>
              </w:rPr>
              <w:t xml:space="preserve">Minimum Credit Score</w:t>
            </w:r>
          </w:p>
        </w:tc>
        <w:tc>
          <w:tcPr>
            <w:tcW w:type="dxa" w:w="6720"/>
            <w:tcMar>
              <w:top w:type="dxa" w:w="60"/>
              <w:left w:type="dxa" w:w="120"/>
              <w:bottom w:type="dxa" w:w="60"/>
              <w:right w:type="dxa" w:w="120"/>
            </w:tcMar>
          </w:tcPr>
          <w:p>
            <w:r>
              <w:rPr>
                <w:rFonts w:ascii="Arial" w:cs="Arial" w:eastAsia="Arial" w:hAnsi="Arial"/>
                <w:sz w:val="20"/>
                <w:szCs w:val="20"/>
              </w:rPr>
              <w:t xml:space="preserve">Do you have a credit score requirement?</w:t>
            </w:r>
          </w:p>
        </w:tc>
      </w:tr>
      <w:tr>
        <w:tc>
          <w:tcPr>
            <w:tcW w:type="dxa" w:w="3360"/>
            <w:shd w:fill="F2F4F6" w:val="clear"/>
            <w:tcMar>
              <w:top w:type="dxa" w:w="60"/>
              <w:left w:type="dxa" w:w="120"/>
              <w:bottom w:type="dxa" w:w="60"/>
              <w:right w:type="dxa" w:w="120"/>
            </w:tcMar>
          </w:tcPr>
          <w:p>
            <w:r>
              <w:rPr>
                <w:rFonts w:ascii="Arial" w:cs="Arial" w:eastAsia="Arial" w:hAnsi="Arial"/>
                <w:b/>
                <w:bCs/>
                <w:sz w:val="20"/>
                <w:szCs w:val="20"/>
              </w:rPr>
              <w:t xml:space="preserve">Speed to Close</w:t>
            </w:r>
          </w:p>
        </w:tc>
        <w:tc>
          <w:tcPr>
            <w:tcW w:type="dxa" w:w="6720"/>
            <w:tcMar>
              <w:top w:type="dxa" w:w="60"/>
              <w:left w:type="dxa" w:w="120"/>
              <w:bottom w:type="dxa" w:w="60"/>
              <w:right w:type="dxa" w:w="120"/>
            </w:tcMar>
          </w:tcPr>
          <w:p>
            <w:r>
              <w:rPr>
                <w:rFonts w:ascii="Arial" w:cs="Arial" w:eastAsia="Arial" w:hAnsi="Arial"/>
                <w:sz w:val="20"/>
                <w:szCs w:val="20"/>
              </w:rPr>
              <w:t xml:space="preserve">How fast can you fund once I have an executed contract?</w:t>
            </w:r>
          </w:p>
        </w:tc>
      </w:tr>
    </w:tbl>
    <w:p>
      <w:r>
        <w:t xml:space="preserve"/>
      </w:r>
    </w:p>
    <w:p>
      <w:pPr>
        <w:pBdr>
          <w:bottom w:val="single" w:color="C89B3C" w:sz="4" w:space="4"/>
        </w:pBdr>
        <w:spacing w:after="160" w:before="320"/>
      </w:pPr>
      <w:r>
        <w:rPr>
          <w:rFonts w:ascii="Arial" w:cs="Arial" w:eastAsia="Arial" w:hAnsi="Arial"/>
          <w:b/>
          <w:bCs/>
          <w:color w:val="0D1B2A"/>
          <w:sz w:val="28"/>
          <w:szCs w:val="28"/>
        </w:rPr>
        <w:t xml:space="preserve">CHAPTER 2 — PRIVATE MONEY LENDING</w:t>
      </w:r>
    </w:p>
    <w:p>
      <w:r>
        <w:t xml:space="preserve"/>
      </w:r>
    </w:p>
    <w:p>
      <w:pPr>
        <w:spacing w:after="80" w:before="80"/>
      </w:pPr>
      <w:r>
        <w:rPr>
          <w:rFonts w:ascii="Arial" w:cs="Arial" w:eastAsia="Arial" w:hAnsi="Arial"/>
          <w:sz w:val="22"/>
          <w:szCs w:val="22"/>
        </w:rPr>
        <w:t xml:space="preserve">Private money is capital from individuals — not institutions. Your private lenders might be friends, family, colleagues, business associates, or people you meet through networking. Private money is more flexible than hard money and often comes at better terms once you establish trust.</w:t>
      </w:r>
    </w:p>
    <w:p>
      <w:r>
        <w:t xml:space="preserve"/>
      </w:r>
    </w:p>
    <w:p>
      <w:pPr>
        <w:spacing w:after="100" w:before="240"/>
      </w:pPr>
      <w:r>
        <w:rPr>
          <w:rFonts w:ascii="Arial" w:cs="Arial" w:eastAsia="Arial" w:hAnsi="Arial"/>
          <w:b/>
          <w:bCs/>
          <w:color w:val="0D1B2A"/>
          <w:sz w:val="24"/>
          <w:szCs w:val="24"/>
        </w:rPr>
        <w:t xml:space="preserve">Private Money Advantages</w:t>
      </w:r>
    </w:p>
    <w:p>
      <w:pPr>
        <w:pStyle w:val="ListParagraph"/>
        <w:numPr>
          <w:ilvl w:val="0"/>
          <w:numId w:val="2"/>
        </w:numPr>
        <w:spacing w:after="60" w:before="60"/>
      </w:pPr>
      <w:r>
        <w:rPr>
          <w:rFonts w:ascii="Arial" w:cs="Arial" w:eastAsia="Arial" w:hAnsi="Arial"/>
          <w:sz w:val="22"/>
          <w:szCs w:val="22"/>
        </w:rPr>
        <w:t xml:space="preserve">More flexible terms — negotiated directly with the lender</w:t>
      </w:r>
    </w:p>
    <w:p>
      <w:pPr>
        <w:pStyle w:val="ListParagraph"/>
        <w:numPr>
          <w:ilvl w:val="0"/>
          <w:numId w:val="2"/>
        </w:numPr>
        <w:spacing w:after="60" w:before="60"/>
      </w:pPr>
      <w:r>
        <w:rPr>
          <w:rFonts w:ascii="Arial" w:cs="Arial" w:eastAsia="Arial" w:hAnsi="Arial"/>
          <w:sz w:val="22"/>
          <w:szCs w:val="22"/>
        </w:rPr>
        <w:t xml:space="preserve">No institutional credit requirements</w:t>
      </w:r>
    </w:p>
    <w:p>
      <w:pPr>
        <w:pStyle w:val="ListParagraph"/>
        <w:numPr>
          <w:ilvl w:val="0"/>
          <w:numId w:val="2"/>
        </w:numPr>
        <w:spacing w:after="60" w:before="60"/>
      </w:pPr>
      <w:r>
        <w:rPr>
          <w:rFonts w:ascii="Arial" w:cs="Arial" w:eastAsia="Arial" w:hAnsi="Arial"/>
          <w:sz w:val="22"/>
          <w:szCs w:val="22"/>
        </w:rPr>
        <w:t xml:space="preserve">Faster decisions — no underwriting committee</w:t>
      </w:r>
    </w:p>
    <w:p>
      <w:pPr>
        <w:pStyle w:val="ListParagraph"/>
        <w:numPr>
          <w:ilvl w:val="0"/>
          <w:numId w:val="2"/>
        </w:numPr>
        <w:spacing w:after="60" w:before="60"/>
      </w:pPr>
      <w:r>
        <w:rPr>
          <w:rFonts w:ascii="Arial" w:cs="Arial" w:eastAsia="Arial" w:hAnsi="Arial"/>
          <w:sz w:val="22"/>
          <w:szCs w:val="22"/>
        </w:rPr>
        <w:t xml:space="preserve">Can structure creative deals (interest-only, profit share, hybrid)</w:t>
      </w:r>
    </w:p>
    <w:p>
      <w:pPr>
        <w:pStyle w:val="ListParagraph"/>
        <w:numPr>
          <w:ilvl w:val="0"/>
          <w:numId w:val="2"/>
        </w:numPr>
        <w:spacing w:after="60" w:before="60"/>
      </w:pPr>
      <w:r>
        <w:rPr>
          <w:rFonts w:ascii="Arial" w:cs="Arial" w:eastAsia="Arial" w:hAnsi="Arial"/>
          <w:sz w:val="22"/>
          <w:szCs w:val="22"/>
        </w:rPr>
        <w:t xml:space="preserve">Relationship-based — lenders who trust you will fund repeatedly</w:t>
      </w:r>
    </w:p>
    <w:p>
      <w:r>
        <w:t xml:space="preserve"/>
      </w:r>
    </w:p>
    <w:p>
      <w:pPr>
        <w:spacing w:after="100" w:before="240"/>
      </w:pPr>
      <w:r>
        <w:rPr>
          <w:rFonts w:ascii="Arial" w:cs="Arial" w:eastAsia="Arial" w:hAnsi="Arial"/>
          <w:b/>
          <w:bCs/>
          <w:color w:val="0D1B2A"/>
          <w:sz w:val="24"/>
          <w:szCs w:val="24"/>
        </w:rPr>
        <w:t xml:space="preserve">SEC Compliance — What You Must Know</w:t>
      </w:r>
    </w:p>
    <w:p>
      <w:pPr>
        <w:pStyle w:val="ListParagraph"/>
        <w:numPr>
          <w:ilvl w:val="0"/>
          <w:numId w:val="2"/>
        </w:numPr>
        <w:spacing w:after="60" w:before="60"/>
      </w:pPr>
      <w:r>
        <w:rPr>
          <w:rFonts w:ascii="Arial" w:cs="Arial" w:eastAsia="Arial" w:hAnsi="Arial"/>
          <w:sz w:val="22"/>
          <w:szCs w:val="22"/>
        </w:rPr>
        <w:t xml:space="preserve">You cannot publicly solicit for private money unless properly licensed or exempt</w:t>
      </w:r>
    </w:p>
    <w:p>
      <w:pPr>
        <w:pStyle w:val="ListParagraph"/>
        <w:numPr>
          <w:ilvl w:val="0"/>
          <w:numId w:val="2"/>
        </w:numPr>
        <w:spacing w:after="60" w:before="60"/>
      </w:pPr>
      <w:r>
        <w:rPr>
          <w:rFonts w:ascii="Arial" w:cs="Arial" w:eastAsia="Arial" w:hAnsi="Arial"/>
          <w:sz w:val="22"/>
          <w:szCs w:val="22"/>
        </w:rPr>
        <w:t xml:space="preserve">Regulation D (Rule 506) allows raising from accredited investors without SEC registration</w:t>
      </w:r>
    </w:p>
    <w:p>
      <w:pPr>
        <w:pStyle w:val="ListParagraph"/>
        <w:numPr>
          <w:ilvl w:val="0"/>
          <w:numId w:val="2"/>
        </w:numPr>
        <w:spacing w:after="60" w:before="60"/>
      </w:pPr>
      <w:r>
        <w:rPr>
          <w:rFonts w:ascii="Arial" w:cs="Arial" w:eastAsia="Arial" w:hAnsi="Arial"/>
          <w:sz w:val="22"/>
          <w:szCs w:val="22"/>
        </w:rPr>
        <w:t xml:space="preserve">Always disclose material facts about every deal</w:t>
      </w:r>
    </w:p>
    <w:p>
      <w:pPr>
        <w:pStyle w:val="ListParagraph"/>
        <w:numPr>
          <w:ilvl w:val="0"/>
          <w:numId w:val="2"/>
        </w:numPr>
        <w:spacing w:after="60" w:before="60"/>
      </w:pPr>
      <w:r>
        <w:rPr>
          <w:rFonts w:ascii="Arial" w:cs="Arial" w:eastAsia="Arial" w:hAnsi="Arial"/>
          <w:sz w:val="22"/>
          <w:szCs w:val="22"/>
        </w:rPr>
        <w:t xml:space="preserve">Never guarantee returns — offer terms, not guarantees</w:t>
      </w:r>
    </w:p>
    <w:p>
      <w:pPr>
        <w:pStyle w:val="ListParagraph"/>
        <w:numPr>
          <w:ilvl w:val="0"/>
          <w:numId w:val="2"/>
        </w:numPr>
        <w:spacing w:after="60" w:before="60"/>
      </w:pPr>
      <w:r>
        <w:rPr>
          <w:rFonts w:ascii="Arial" w:cs="Arial" w:eastAsia="Arial" w:hAnsi="Arial"/>
          <w:sz w:val="22"/>
          <w:szCs w:val="22"/>
        </w:rPr>
        <w:t xml:space="preserve">When in doubt, consult a securities attorney</w:t>
      </w:r>
    </w:p>
    <w:p>
      <w:r>
        <w:t xml:space="preserve"/>
      </w:r>
    </w:p>
    <w:p>
      <w:pPr>
        <w:spacing w:after="100" w:before="240"/>
      </w:pPr>
      <w:r>
        <w:rPr>
          <w:rFonts w:ascii="Arial" w:cs="Arial" w:eastAsia="Arial" w:hAnsi="Arial"/>
          <w:b/>
          <w:bCs/>
          <w:color w:val="0D1B2A"/>
          <w:sz w:val="24"/>
          <w:szCs w:val="24"/>
        </w:rPr>
        <w:t xml:space="preserve">Where to Find Private Lenders</w:t>
      </w:r>
    </w:p>
    <w:p>
      <w:pPr>
        <w:pStyle w:val="ListParagraph"/>
        <w:numPr>
          <w:ilvl w:val="0"/>
          <w:numId w:val="2"/>
        </w:numPr>
        <w:spacing w:after="60" w:before="60"/>
      </w:pPr>
      <w:r>
        <w:rPr>
          <w:rFonts w:ascii="Arial" w:cs="Arial" w:eastAsia="Arial" w:hAnsi="Arial"/>
          <w:sz w:val="22"/>
          <w:szCs w:val="22"/>
        </w:rPr>
        <w:t xml:space="preserve">Your existing network — friends, family, former colleagues, business contacts</w:t>
      </w:r>
    </w:p>
    <w:p>
      <w:pPr>
        <w:pStyle w:val="ListParagraph"/>
        <w:numPr>
          <w:ilvl w:val="0"/>
          <w:numId w:val="2"/>
        </w:numPr>
        <w:spacing w:after="60" w:before="60"/>
      </w:pPr>
      <w:r>
        <w:rPr>
          <w:rFonts w:ascii="Arial" w:cs="Arial" w:eastAsia="Arial" w:hAnsi="Arial"/>
          <w:sz w:val="22"/>
          <w:szCs w:val="22"/>
        </w:rPr>
        <w:t xml:space="preserve">REIA meetings and real estate networking events</w:t>
      </w:r>
    </w:p>
    <w:p>
      <w:pPr>
        <w:pStyle w:val="ListParagraph"/>
        <w:numPr>
          <w:ilvl w:val="0"/>
          <w:numId w:val="2"/>
        </w:numPr>
        <w:spacing w:after="60" w:before="60"/>
      </w:pPr>
      <w:r>
        <w:rPr>
          <w:rFonts w:ascii="Arial" w:cs="Arial" w:eastAsia="Arial" w:hAnsi="Arial"/>
          <w:sz w:val="22"/>
          <w:szCs w:val="22"/>
        </w:rPr>
        <w:t xml:space="preserve">Professional associations — attorneys, CPAs, financial advisors</w:t>
      </w:r>
    </w:p>
    <w:p>
      <w:pPr>
        <w:pStyle w:val="ListParagraph"/>
        <w:numPr>
          <w:ilvl w:val="0"/>
          <w:numId w:val="2"/>
        </w:numPr>
        <w:spacing w:after="60" w:before="60"/>
      </w:pPr>
      <w:r>
        <w:rPr>
          <w:rFonts w:ascii="Arial" w:cs="Arial" w:eastAsia="Arial" w:hAnsi="Arial"/>
          <w:sz w:val="22"/>
          <w:szCs w:val="22"/>
        </w:rPr>
        <w:t xml:space="preserve">Self-directed IRA holders looking for alternative investments</w:t>
      </w:r>
    </w:p>
    <w:p>
      <w:pPr>
        <w:pStyle w:val="ListParagraph"/>
        <w:numPr>
          <w:ilvl w:val="0"/>
          <w:numId w:val="2"/>
        </w:numPr>
        <w:spacing w:after="60" w:before="60"/>
      </w:pPr>
      <w:r>
        <w:rPr>
          <w:rFonts w:ascii="Arial" w:cs="Arial" w:eastAsia="Arial" w:hAnsi="Arial"/>
          <w:sz w:val="22"/>
          <w:szCs w:val="22"/>
        </w:rPr>
        <w:t xml:space="preserve">Local business owners seeking better returns than the stock market</w:t>
      </w:r>
    </w:p>
    <w:p>
      <w:r>
        <w:t xml:space="preserve"/>
      </w:r>
    </w:p>
    <w:p>
      <w:pPr>
        <w:spacing w:after="100" w:before="240"/>
      </w:pPr>
      <w:r>
        <w:rPr>
          <w:rFonts w:ascii="Arial" w:cs="Arial" w:eastAsia="Arial" w:hAnsi="Arial"/>
          <w:b/>
          <w:bCs/>
          <w:color w:val="0D1B2A"/>
          <w:sz w:val="24"/>
          <w:szCs w:val="24"/>
        </w:rPr>
        <w:t xml:space="preserve">Private Lender Conversation Framework</w:t>
      </w:r>
    </w:p>
    <w:p>
      <w:pPr>
        <w:pStyle w:val="ListParagraph"/>
        <w:numPr>
          <w:ilvl w:val="0"/>
          <w:numId w:val="3"/>
        </w:numPr>
        <w:spacing w:after="60" w:before="60"/>
      </w:pPr>
      <w:r>
        <w:rPr>
          <w:rFonts w:ascii="Arial" w:cs="Arial" w:eastAsia="Arial" w:hAnsi="Arial"/>
          <w:sz w:val="22"/>
          <w:szCs w:val="22"/>
        </w:rPr>
        <w:t xml:space="preserve">Build relationship first — don't pitch on the first meeting</w:t>
      </w:r>
    </w:p>
    <w:p>
      <w:pPr>
        <w:pStyle w:val="ListParagraph"/>
        <w:numPr>
          <w:ilvl w:val="0"/>
          <w:numId w:val="3"/>
        </w:numPr>
        <w:spacing w:after="60" w:before="60"/>
      </w:pPr>
      <w:r>
        <w:rPr>
          <w:rFonts w:ascii="Arial" w:cs="Arial" w:eastAsia="Arial" w:hAnsi="Arial"/>
          <w:sz w:val="22"/>
          <w:szCs w:val="22"/>
        </w:rPr>
        <w:t xml:space="preserve">Educate on how private lending works — most don't know it's an option</w:t>
      </w:r>
    </w:p>
    <w:p>
      <w:pPr>
        <w:pStyle w:val="ListParagraph"/>
        <w:numPr>
          <w:ilvl w:val="0"/>
          <w:numId w:val="3"/>
        </w:numPr>
        <w:spacing w:after="60" w:before="60"/>
      </w:pPr>
      <w:r>
        <w:rPr>
          <w:rFonts w:ascii="Arial" w:cs="Arial" w:eastAsia="Arial" w:hAnsi="Arial"/>
          <w:sz w:val="22"/>
          <w:szCs w:val="22"/>
        </w:rPr>
        <w:t xml:space="preserve">Share your track record and deal history</w:t>
      </w:r>
    </w:p>
    <w:p>
      <w:pPr>
        <w:pStyle w:val="ListParagraph"/>
        <w:numPr>
          <w:ilvl w:val="0"/>
          <w:numId w:val="3"/>
        </w:numPr>
        <w:spacing w:after="60" w:before="60"/>
      </w:pPr>
      <w:r>
        <w:rPr>
          <w:rFonts w:ascii="Arial" w:cs="Arial" w:eastAsia="Arial" w:hAnsi="Arial"/>
          <w:sz w:val="22"/>
          <w:szCs w:val="22"/>
        </w:rPr>
        <w:t xml:space="preserve">Present a specific deal with full documentation</w:t>
      </w:r>
    </w:p>
    <w:p>
      <w:pPr>
        <w:pStyle w:val="ListParagraph"/>
        <w:numPr>
          <w:ilvl w:val="0"/>
          <w:numId w:val="3"/>
        </w:numPr>
        <w:spacing w:after="60" w:before="60"/>
      </w:pPr>
      <w:r>
        <w:rPr>
          <w:rFonts w:ascii="Arial" w:cs="Arial" w:eastAsia="Arial" w:hAnsi="Arial"/>
          <w:sz w:val="22"/>
          <w:szCs w:val="22"/>
        </w:rPr>
        <w:t xml:space="preserve">Let them make the decision — don't pressure</w:t>
      </w:r>
    </w:p>
    <w:p>
      <w:pPr>
        <w:pStyle w:val="ListParagraph"/>
        <w:numPr>
          <w:ilvl w:val="0"/>
          <w:numId w:val="3"/>
        </w:numPr>
        <w:spacing w:after="60" w:before="60"/>
      </w:pPr>
      <w:r>
        <w:rPr>
          <w:rFonts w:ascii="Arial" w:cs="Arial" w:eastAsia="Arial" w:hAnsi="Arial"/>
          <w:sz w:val="22"/>
          <w:szCs w:val="22"/>
        </w:rPr>
        <w:t xml:space="preserve">Close fast and deliver on your promises — this creates lifetime lenders</w:t>
      </w:r>
    </w:p>
    <w:p>
      <w:r>
        <w:t xml:space="preserve"/>
      </w:r>
    </w:p>
    <w:p>
      <w:pPr>
        <w:pBdr>
          <w:bottom w:val="single" w:color="C89B3C" w:sz="4" w:space="4"/>
        </w:pBdr>
        <w:spacing w:after="160" w:before="320"/>
      </w:pPr>
      <w:r>
        <w:rPr>
          <w:rFonts w:ascii="Arial" w:cs="Arial" w:eastAsia="Arial" w:hAnsi="Arial"/>
          <w:b/>
          <w:bCs/>
          <w:color w:val="0D1B2A"/>
          <w:sz w:val="28"/>
          <w:szCs w:val="28"/>
        </w:rPr>
        <w:t xml:space="preserve">CHAPTER 3 — CREATIVE FINANCING</w:t>
      </w:r>
    </w:p>
    <w:p>
      <w:r>
        <w:t xml:space="preserve"/>
      </w:r>
    </w:p>
    <w:p>
      <w:pPr>
        <w:spacing w:after="100" w:before="240"/>
      </w:pPr>
      <w:r>
        <w:rPr>
          <w:rFonts w:ascii="Arial" w:cs="Arial" w:eastAsia="Arial" w:hAnsi="Arial"/>
          <w:b/>
          <w:bCs/>
          <w:color w:val="0D1B2A"/>
          <w:sz w:val="24"/>
          <w:szCs w:val="24"/>
        </w:rPr>
        <w:t xml:space="preserve">Owner / Seller Financing</w:t>
      </w:r>
    </w:p>
    <w:p>
      <w:pPr>
        <w:spacing w:after="80" w:before="80"/>
      </w:pPr>
      <w:r>
        <w:rPr>
          <w:rFonts w:ascii="Arial" w:cs="Arial" w:eastAsia="Arial" w:hAnsi="Arial"/>
          <w:sz w:val="22"/>
          <w:szCs w:val="22"/>
        </w:rPr>
        <w:t xml:space="preserve">The seller acts as the bank. You make monthly payments directly to the seller, often with a balloon payment at a specified future date. Best used when the seller owns the property free and clear or needs income rather than a lump sum.</w:t>
      </w:r>
    </w:p>
    <w:p>
      <w:r>
        <w:t xml:space="preserve"/>
      </w:r>
    </w:p>
    <w:p>
      <w:pPr>
        <w:spacing w:after="100" w:before="240"/>
      </w:pPr>
      <w:r>
        <w:rPr>
          <w:rFonts w:ascii="Arial" w:cs="Arial" w:eastAsia="Arial" w:hAnsi="Arial"/>
          <w:b/>
          <w:bCs/>
          <w:color w:val="0D1B2A"/>
          <w:sz w:val="24"/>
          <w:szCs w:val="24"/>
        </w:rPr>
        <w:t xml:space="preserve">Subject-To</w:t>
      </w:r>
    </w:p>
    <w:p>
      <w:pPr>
        <w:spacing w:after="80" w:before="80"/>
      </w:pPr>
      <w:r>
        <w:rPr>
          <w:rFonts w:ascii="Arial" w:cs="Arial" w:eastAsia="Arial" w:hAnsi="Arial"/>
          <w:sz w:val="22"/>
          <w:szCs w:val="22"/>
        </w:rPr>
        <w:t xml:space="preserve">You acquire the property and take over the seller's existing mortgage payments without formally assuming the loan. The loan remains in the seller's name. Requires proper disclosure (see Due-on-Sale Acknowledgment). Best used when the seller is motivated and the existing loan has favorable terms.</w:t>
      </w:r>
    </w:p>
    <w:p>
      <w:r>
        <w:t xml:space="preserve"/>
      </w:r>
    </w:p>
    <w:p>
      <w:pPr>
        <w:spacing w:after="100" w:before="240"/>
      </w:pPr>
      <w:r>
        <w:rPr>
          <w:rFonts w:ascii="Arial" w:cs="Arial" w:eastAsia="Arial" w:hAnsi="Arial"/>
          <w:b/>
          <w:bCs/>
          <w:color w:val="0D1B2A"/>
          <w:sz w:val="24"/>
          <w:szCs w:val="24"/>
        </w:rPr>
        <w:t xml:space="preserve">Lease Options</w:t>
      </w:r>
    </w:p>
    <w:p>
      <w:pPr>
        <w:spacing w:after="80" w:before="80"/>
      </w:pPr>
      <w:r>
        <w:rPr>
          <w:rFonts w:ascii="Arial" w:cs="Arial" w:eastAsia="Arial" w:hAnsi="Arial"/>
          <w:sz w:val="22"/>
          <w:szCs w:val="22"/>
        </w:rPr>
        <w:t xml:space="preserve">You lease the property with the option to purchase at a predetermined price within a set timeframe. Minimal upfront capital required. Best used for motivated sellers who can't get market value today but are willing to wait.</w:t>
      </w:r>
    </w:p>
    <w:p>
      <w:r>
        <w:t xml:space="preserve"/>
      </w:r>
    </w:p>
    <w:p>
      <w:pPr>
        <w:spacing w:after="100" w:before="240"/>
      </w:pPr>
      <w:r>
        <w:rPr>
          <w:rFonts w:ascii="Arial" w:cs="Arial" w:eastAsia="Arial" w:hAnsi="Arial"/>
          <w:b/>
          <w:bCs/>
          <w:color w:val="0D1B2A"/>
          <w:sz w:val="24"/>
          <w:szCs w:val="24"/>
        </w:rPr>
        <w:t xml:space="preserve">BRRRR Method</w:t>
      </w:r>
    </w:p>
    <w:p>
      <w:pPr>
        <w:spacing w:after="80" w:before="80"/>
      </w:pPr>
      <w:r>
        <w:rPr>
          <w:rFonts w:ascii="Arial" w:cs="Arial" w:eastAsia="Arial" w:hAnsi="Arial"/>
          <w:sz w:val="22"/>
          <w:szCs w:val="22"/>
        </w:rPr>
        <w:t xml:space="preserve">Buy, Rehab, Rent, Refinance, Repeat. Use hard or private money to acquire and rehab, then refinance into a conventional loan once stabilized. Pull your capital back out and deploy it on the next deal.</w:t>
      </w:r>
    </w:p>
    <w:p>
      <w:r>
        <w:t xml:space="preserve"/>
      </w:r>
    </w:p>
    <w:p>
      <w:pPr>
        <w:pBdr>
          <w:bottom w:val="single" w:color="C89B3C" w:sz="4" w:space="4"/>
        </w:pBdr>
        <w:spacing w:after="160" w:before="320"/>
      </w:pPr>
      <w:r>
        <w:rPr>
          <w:rFonts w:ascii="Arial" w:cs="Arial" w:eastAsia="Arial" w:hAnsi="Arial"/>
          <w:b/>
          <w:bCs/>
          <w:color w:val="0D1B2A"/>
          <w:sz w:val="28"/>
          <w:szCs w:val="28"/>
        </w:rPr>
        <w:t xml:space="preserve">FINANCING STRATEGY SELECTION GUIDE</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shd w:fill="0D1B2A"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2520"/>
            <w:shd w:fill="0D1B2A"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2520"/>
            <w:shd w:fill="0D1B2A" w:val="clear"/>
            <w:tcMar>
              <w:top w:type="dxa" w:w="80"/>
              <w:left w:type="dxa" w:w="120"/>
              <w:bottom w:type="dxa" w:w="80"/>
              <w:right w:type="dxa" w:w="120"/>
            </w:tcMar>
          </w:tcPr>
          <w:p>
            <w:r>
              <w:rPr>
                <w:rFonts w:ascii="Arial" w:cs="Arial" w:eastAsia="Arial" w:hAnsi="Arial"/>
                <w:b/>
                <w:bCs/>
                <w:color w:val="FFFFFF"/>
                <w:sz w:val="20"/>
                <w:szCs w:val="20"/>
              </w:rPr>
              <w:t xml:space="preserve">SPEED</w:t>
            </w:r>
          </w:p>
        </w:tc>
        <w:tc>
          <w:tcPr>
            <w:tcW w:type="dxa" w:w="2520"/>
            <w:shd w:fill="0D1B2A"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520"/>
            <w:shd w:fill="F2F4F6" w:val="clear"/>
            <w:tcMar>
              <w:top w:type="dxa" w:w="60"/>
              <w:left w:type="dxa" w:w="120"/>
              <w:bottom w:type="dxa" w:w="60"/>
              <w:right w:type="dxa" w:w="120"/>
            </w:tcMar>
          </w:tcPr>
          <w:p>
            <w:r>
              <w:rPr>
                <w:rFonts w:ascii="Arial" w:cs="Arial" w:eastAsia="Arial" w:hAnsi="Arial"/>
                <w:b/>
                <w:bCs/>
                <w:sz w:val="20"/>
                <w:szCs w:val="20"/>
              </w:rPr>
              <w:t xml:space="preserve">Hard Money</w:t>
            </w:r>
          </w:p>
        </w:tc>
        <w:tc>
          <w:tcPr>
            <w:tcW w:type="dxa" w:w="2520"/>
            <w:shd w:fill="FFFFFF" w:val="clear"/>
            <w:tcMar>
              <w:top w:type="dxa" w:w="60"/>
              <w:left w:type="dxa" w:w="120"/>
              <w:bottom w:type="dxa" w:w="60"/>
              <w:right w:type="dxa" w:w="120"/>
            </w:tcMar>
          </w:tcPr>
          <w:p>
            <w:r>
              <w:rPr>
                <w:rFonts w:ascii="Arial" w:cs="Arial" w:eastAsia="Arial" w:hAnsi="Arial"/>
                <w:b w:val="false"/>
                <w:bCs w:val="false"/>
                <w:sz w:val="20"/>
                <w:szCs w:val="20"/>
              </w:rPr>
              <w:t xml:space="preserve">Fix-and-flip</w:t>
            </w:r>
          </w:p>
        </w:tc>
        <w:tc>
          <w:tcPr>
            <w:tcW w:type="dxa" w:w="2520"/>
            <w:shd w:fill="FFFFFF" w:val="clear"/>
            <w:tcMar>
              <w:top w:type="dxa" w:w="60"/>
              <w:left w:type="dxa" w:w="120"/>
              <w:bottom w:type="dxa" w:w="60"/>
              <w:right w:type="dxa" w:w="120"/>
            </w:tcMar>
          </w:tcPr>
          <w:p>
            <w:r>
              <w:rPr>
                <w:rFonts w:ascii="Arial" w:cs="Arial" w:eastAsia="Arial" w:hAnsi="Arial"/>
                <w:b w:val="false"/>
                <w:bCs w:val="false"/>
                <w:sz w:val="20"/>
                <w:szCs w:val="20"/>
              </w:rPr>
              <w:t xml:space="preserve">Fast (7–14 days)</w:t>
            </w:r>
          </w:p>
        </w:tc>
        <w:tc>
          <w:tcPr>
            <w:tcW w:type="dxa" w:w="2520"/>
            <w:shd w:fill="FFFFFF" w:val="clear"/>
            <w:tcMar>
              <w:top w:type="dxa" w:w="60"/>
              <w:left w:type="dxa" w:w="120"/>
              <w:bottom w:type="dxa" w:w="60"/>
              <w:right w:type="dxa" w:w="120"/>
            </w:tcMar>
          </w:tcPr>
          <w:p>
            <w:r>
              <w:rPr>
                <w:rFonts w:ascii="Arial" w:cs="Arial" w:eastAsia="Arial" w:hAnsi="Arial"/>
                <w:b w:val="false"/>
                <w:bCs w:val="false"/>
                <w:sz w:val="20"/>
                <w:szCs w:val="20"/>
              </w:rPr>
              <w:t xml:space="preserve">High (11–15% + points)</w:t>
            </w:r>
          </w:p>
        </w:tc>
      </w:tr>
      <w:tr>
        <w:tc>
          <w:tcPr>
            <w:tcW w:type="dxa" w:w="2520"/>
            <w:shd w:fill="F2F4F6" w:val="clear"/>
            <w:tcMar>
              <w:top w:type="dxa" w:w="60"/>
              <w:left w:type="dxa" w:w="120"/>
              <w:bottom w:type="dxa" w:w="60"/>
              <w:right w:type="dxa" w:w="120"/>
            </w:tcMar>
          </w:tcPr>
          <w:p>
            <w:r>
              <w:rPr>
                <w:rFonts w:ascii="Arial" w:cs="Arial" w:eastAsia="Arial" w:hAnsi="Arial"/>
                <w:b/>
                <w:bCs/>
                <w:sz w:val="20"/>
                <w:szCs w:val="20"/>
              </w:rPr>
              <w:t xml:space="preserve">Private Money</w:t>
            </w:r>
          </w:p>
        </w:tc>
        <w:tc>
          <w:tcPr>
            <w:tcW w:type="dxa" w:w="2520"/>
            <w:shd w:fill="FFFFFF" w:val="clear"/>
            <w:tcMar>
              <w:top w:type="dxa" w:w="60"/>
              <w:left w:type="dxa" w:w="120"/>
              <w:bottom w:type="dxa" w:w="60"/>
              <w:right w:type="dxa" w:w="120"/>
            </w:tcMar>
          </w:tcPr>
          <w:p>
            <w:r>
              <w:rPr>
                <w:rFonts w:ascii="Arial" w:cs="Arial" w:eastAsia="Arial" w:hAnsi="Arial"/>
                <w:b w:val="false"/>
                <w:bCs w:val="false"/>
                <w:sz w:val="20"/>
                <w:szCs w:val="20"/>
              </w:rPr>
              <w:t xml:space="preserve">Any deal type</w:t>
            </w:r>
          </w:p>
        </w:tc>
        <w:tc>
          <w:tcPr>
            <w:tcW w:type="dxa" w:w="2520"/>
            <w:shd w:fill="FFFFFF" w:val="clear"/>
            <w:tcMar>
              <w:top w:type="dxa" w:w="60"/>
              <w:left w:type="dxa" w:w="120"/>
              <w:bottom w:type="dxa" w:w="60"/>
              <w:right w:type="dxa" w:w="120"/>
            </w:tcMar>
          </w:tcPr>
          <w:p>
            <w:r>
              <w:rPr>
                <w:rFonts w:ascii="Arial" w:cs="Arial" w:eastAsia="Arial" w:hAnsi="Arial"/>
                <w:b w:val="false"/>
                <w:bCs w:val="false"/>
                <w:sz w:val="20"/>
                <w:szCs w:val="20"/>
              </w:rPr>
              <w:t xml:space="preserve">Fast (negotiable)</w:t>
            </w:r>
          </w:p>
        </w:tc>
        <w:tc>
          <w:tcPr>
            <w:tcW w:type="dxa" w:w="2520"/>
            <w:shd w:fill="FFFFFF" w:val="clear"/>
            <w:tcMar>
              <w:top w:type="dxa" w:w="60"/>
              <w:left w:type="dxa" w:w="120"/>
              <w:bottom w:type="dxa" w:w="60"/>
              <w:right w:type="dxa" w:w="120"/>
            </w:tcMar>
          </w:tcPr>
          <w:p>
            <w:r>
              <w:rPr>
                <w:rFonts w:ascii="Arial" w:cs="Arial" w:eastAsia="Arial" w:hAnsi="Arial"/>
                <w:b w:val="false"/>
                <w:bCs w:val="false"/>
                <w:sz w:val="20"/>
                <w:szCs w:val="20"/>
              </w:rPr>
              <w:t xml:space="preserve">Low to moderate</w:t>
            </w:r>
          </w:p>
        </w:tc>
      </w:tr>
      <w:tr>
        <w:tc>
          <w:tcPr>
            <w:tcW w:type="dxa" w:w="2520"/>
            <w:shd w:fill="F2F4F6" w:val="clear"/>
            <w:tcMar>
              <w:top w:type="dxa" w:w="60"/>
              <w:left w:type="dxa" w:w="120"/>
              <w:bottom w:type="dxa" w:w="60"/>
              <w:right w:type="dxa" w:w="120"/>
            </w:tcMar>
          </w:tcPr>
          <w:p>
            <w:r>
              <w:rPr>
                <w:rFonts w:ascii="Arial" w:cs="Arial" w:eastAsia="Arial" w:hAnsi="Arial"/>
                <w:b/>
                <w:bCs/>
                <w:sz w:val="20"/>
                <w:szCs w:val="20"/>
              </w:rPr>
              <w:t xml:space="preserve">Owner Financing</w:t>
            </w:r>
          </w:p>
        </w:tc>
        <w:tc>
          <w:tcPr>
            <w:tcW w:type="dxa" w:w="2520"/>
            <w:shd w:fill="FFFFFF" w:val="clear"/>
            <w:tcMar>
              <w:top w:type="dxa" w:w="60"/>
              <w:left w:type="dxa" w:w="120"/>
              <w:bottom w:type="dxa" w:w="60"/>
              <w:right w:type="dxa" w:w="120"/>
            </w:tcMar>
          </w:tcPr>
          <w:p>
            <w:r>
              <w:rPr>
                <w:rFonts w:ascii="Arial" w:cs="Arial" w:eastAsia="Arial" w:hAnsi="Arial"/>
                <w:b w:val="false"/>
                <w:bCs w:val="false"/>
                <w:sz w:val="20"/>
                <w:szCs w:val="20"/>
              </w:rPr>
              <w:t xml:space="preserve">Long-term holds</w:t>
            </w:r>
          </w:p>
        </w:tc>
        <w:tc>
          <w:tcPr>
            <w:tcW w:type="dxa" w:w="2520"/>
            <w:shd w:fill="FFFFFF" w:val="clear"/>
            <w:tcMar>
              <w:top w:type="dxa" w:w="60"/>
              <w:left w:type="dxa" w:w="120"/>
              <w:bottom w:type="dxa" w:w="60"/>
              <w:right w:type="dxa" w:w="120"/>
            </w:tcMar>
          </w:tcPr>
          <w:p>
            <w:r>
              <w:rPr>
                <w:rFonts w:ascii="Arial" w:cs="Arial" w:eastAsia="Arial" w:hAnsi="Arial"/>
                <w:b w:val="false"/>
                <w:bCs w:val="false"/>
                <w:sz w:val="20"/>
                <w:szCs w:val="20"/>
              </w:rPr>
              <w:t xml:space="preserve">Slow (negotiated)</w:t>
            </w:r>
          </w:p>
        </w:tc>
        <w:tc>
          <w:tcPr>
            <w:tcW w:type="dxa" w:w="2520"/>
            <w:shd w:fill="FFFFFF" w:val="clear"/>
            <w:tcMar>
              <w:top w:type="dxa" w:w="60"/>
              <w:left w:type="dxa" w:w="120"/>
              <w:bottom w:type="dxa" w:w="60"/>
              <w:right w:type="dxa" w:w="120"/>
            </w:tcMar>
          </w:tcPr>
          <w:p>
            <w:r>
              <w:rPr>
                <w:rFonts w:ascii="Arial" w:cs="Arial" w:eastAsia="Arial" w:hAnsi="Arial"/>
                <w:b w:val="false"/>
                <w:bCs w:val="false"/>
                <w:sz w:val="20"/>
                <w:szCs w:val="20"/>
              </w:rPr>
              <w:t xml:space="preserve">Low</w:t>
            </w:r>
          </w:p>
        </w:tc>
      </w:tr>
      <w:tr>
        <w:tc>
          <w:tcPr>
            <w:tcW w:type="dxa" w:w="2520"/>
            <w:shd w:fill="F2F4F6" w:val="clear"/>
            <w:tcMar>
              <w:top w:type="dxa" w:w="60"/>
              <w:left w:type="dxa" w:w="120"/>
              <w:bottom w:type="dxa" w:w="60"/>
              <w:right w:type="dxa" w:w="120"/>
            </w:tcMar>
          </w:tcPr>
          <w:p>
            <w:r>
              <w:rPr>
                <w:rFonts w:ascii="Arial" w:cs="Arial" w:eastAsia="Arial" w:hAnsi="Arial"/>
                <w:b/>
                <w:bCs/>
                <w:sz w:val="20"/>
                <w:szCs w:val="20"/>
              </w:rPr>
              <w:t xml:space="preserve">Subject-To</w:t>
            </w:r>
          </w:p>
        </w:tc>
        <w:tc>
          <w:tcPr>
            <w:tcW w:type="dxa" w:w="2520"/>
            <w:shd w:fill="FFFFFF" w:val="clear"/>
            <w:tcMar>
              <w:top w:type="dxa" w:w="60"/>
              <w:left w:type="dxa" w:w="120"/>
              <w:bottom w:type="dxa" w:w="60"/>
              <w:right w:type="dxa" w:w="120"/>
            </w:tcMar>
          </w:tcPr>
          <w:p>
            <w:r>
              <w:rPr>
                <w:rFonts w:ascii="Arial" w:cs="Arial" w:eastAsia="Arial" w:hAnsi="Arial"/>
                <w:b w:val="false"/>
                <w:bCs w:val="false"/>
                <w:sz w:val="20"/>
                <w:szCs w:val="20"/>
              </w:rPr>
              <w:t xml:space="preserve">Motivated sellers</w:t>
            </w:r>
          </w:p>
        </w:tc>
        <w:tc>
          <w:tcPr>
            <w:tcW w:type="dxa" w:w="2520"/>
            <w:shd w:fill="FFFFFF" w:val="clear"/>
            <w:tcMar>
              <w:top w:type="dxa" w:w="60"/>
              <w:left w:type="dxa" w:w="120"/>
              <w:bottom w:type="dxa" w:w="60"/>
              <w:right w:type="dxa" w:w="120"/>
            </w:tcMar>
          </w:tcPr>
          <w:p>
            <w:r>
              <w:rPr>
                <w:rFonts w:ascii="Arial" w:cs="Arial" w:eastAsia="Arial" w:hAnsi="Arial"/>
                <w:b w:val="false"/>
                <w:bCs w:val="false"/>
                <w:sz w:val="20"/>
                <w:szCs w:val="20"/>
              </w:rPr>
              <w:t xml:space="preserve">Moderate</w:t>
            </w:r>
          </w:p>
        </w:tc>
        <w:tc>
          <w:tcPr>
            <w:tcW w:type="dxa" w:w="2520"/>
            <w:shd w:fill="FFFFFF" w:val="clear"/>
            <w:tcMar>
              <w:top w:type="dxa" w:w="60"/>
              <w:left w:type="dxa" w:w="120"/>
              <w:bottom w:type="dxa" w:w="60"/>
              <w:right w:type="dxa" w:w="120"/>
            </w:tcMar>
          </w:tcPr>
          <w:p>
            <w:r>
              <w:rPr>
                <w:rFonts w:ascii="Arial" w:cs="Arial" w:eastAsia="Arial" w:hAnsi="Arial"/>
                <w:b w:val="false"/>
                <w:bCs w:val="false"/>
                <w:sz w:val="20"/>
                <w:szCs w:val="20"/>
              </w:rPr>
              <w:t xml:space="preserve">Low</w:t>
            </w:r>
          </w:p>
        </w:tc>
      </w:tr>
      <w:tr>
        <w:tc>
          <w:tcPr>
            <w:tcW w:type="dxa" w:w="2520"/>
            <w:shd w:fill="F2F4F6" w:val="clear"/>
            <w:tcMar>
              <w:top w:type="dxa" w:w="60"/>
              <w:left w:type="dxa" w:w="120"/>
              <w:bottom w:type="dxa" w:w="60"/>
              <w:right w:type="dxa" w:w="120"/>
            </w:tcMar>
          </w:tcPr>
          <w:p>
            <w:r>
              <w:rPr>
                <w:rFonts w:ascii="Arial" w:cs="Arial" w:eastAsia="Arial" w:hAnsi="Arial"/>
                <w:b/>
                <w:bCs/>
                <w:sz w:val="20"/>
                <w:szCs w:val="20"/>
              </w:rPr>
              <w:t xml:space="preserve">BRRRR</w:t>
            </w:r>
          </w:p>
        </w:tc>
        <w:tc>
          <w:tcPr>
            <w:tcW w:type="dxa" w:w="2520"/>
            <w:shd w:fill="FFFFFF" w:val="clear"/>
            <w:tcMar>
              <w:top w:type="dxa" w:w="60"/>
              <w:left w:type="dxa" w:w="120"/>
              <w:bottom w:type="dxa" w:w="60"/>
              <w:right w:type="dxa" w:w="120"/>
            </w:tcMar>
          </w:tcPr>
          <w:p>
            <w:r>
              <w:rPr>
                <w:rFonts w:ascii="Arial" w:cs="Arial" w:eastAsia="Arial" w:hAnsi="Arial"/>
                <w:b w:val="false"/>
                <w:bCs w:val="false"/>
                <w:sz w:val="20"/>
                <w:szCs w:val="20"/>
              </w:rPr>
              <w:t xml:space="preserve">Buy-and-hold</w:t>
            </w:r>
          </w:p>
        </w:tc>
        <w:tc>
          <w:tcPr>
            <w:tcW w:type="dxa" w:w="2520"/>
            <w:shd w:fill="FFFFFF" w:val="clear"/>
            <w:tcMar>
              <w:top w:type="dxa" w:w="60"/>
              <w:left w:type="dxa" w:w="120"/>
              <w:bottom w:type="dxa" w:w="60"/>
              <w:right w:type="dxa" w:w="120"/>
            </w:tcMar>
          </w:tcPr>
          <w:p>
            <w:r>
              <w:rPr>
                <w:rFonts w:ascii="Arial" w:cs="Arial" w:eastAsia="Arial" w:hAnsi="Arial"/>
                <w:b w:val="false"/>
                <w:bCs w:val="false"/>
                <w:sz w:val="20"/>
                <w:szCs w:val="20"/>
              </w:rPr>
              <w:t xml:space="preserve">Moderate</w:t>
            </w:r>
          </w:p>
        </w:tc>
        <w:tc>
          <w:tcPr>
            <w:tcW w:type="dxa" w:w="2520"/>
            <w:shd w:fill="FFFFFF" w:val="clear"/>
            <w:tcMar>
              <w:top w:type="dxa" w:w="60"/>
              <w:left w:type="dxa" w:w="120"/>
              <w:bottom w:type="dxa" w:w="60"/>
              <w:right w:type="dxa" w:w="120"/>
            </w:tcMar>
          </w:tcPr>
          <w:p>
            <w:r>
              <w:rPr>
                <w:rFonts w:ascii="Arial" w:cs="Arial" w:eastAsia="Arial" w:hAnsi="Arial"/>
                <w:b w:val="false"/>
                <w:bCs w:val="false"/>
                <w:sz w:val="20"/>
                <w:szCs w:val="20"/>
              </w:rPr>
              <w:t xml:space="preserve">Moderate</w:t>
            </w:r>
          </w:p>
        </w:tc>
      </w:tr>
      <w:tr>
        <w:tc>
          <w:tcPr>
            <w:tcW w:type="dxa" w:w="2520"/>
            <w:shd w:fill="F2F4F6" w:val="clear"/>
            <w:tcMar>
              <w:top w:type="dxa" w:w="60"/>
              <w:left w:type="dxa" w:w="120"/>
              <w:bottom w:type="dxa" w:w="60"/>
              <w:right w:type="dxa" w:w="120"/>
            </w:tcMar>
          </w:tcPr>
          <w:p>
            <w:r>
              <w:rPr>
                <w:rFonts w:ascii="Arial" w:cs="Arial" w:eastAsia="Arial" w:hAnsi="Arial"/>
                <w:b/>
                <w:bCs/>
                <w:sz w:val="20"/>
                <w:szCs w:val="20"/>
              </w:rPr>
              <w:t xml:space="preserve">Business Credit</w:t>
            </w:r>
          </w:p>
        </w:tc>
        <w:tc>
          <w:tcPr>
            <w:tcW w:type="dxa" w:w="2520"/>
            <w:shd w:fill="FFFFFF" w:val="clear"/>
            <w:tcMar>
              <w:top w:type="dxa" w:w="60"/>
              <w:left w:type="dxa" w:w="120"/>
              <w:bottom w:type="dxa" w:w="60"/>
              <w:right w:type="dxa" w:w="120"/>
            </w:tcMar>
          </w:tcPr>
          <w:p>
            <w:r>
              <w:rPr>
                <w:rFonts w:ascii="Arial" w:cs="Arial" w:eastAsia="Arial" w:hAnsi="Arial"/>
                <w:b w:val="false"/>
                <w:bCs w:val="false"/>
                <w:sz w:val="20"/>
                <w:szCs w:val="20"/>
              </w:rPr>
              <w:t xml:space="preserve">Gap / carry costs</w:t>
            </w:r>
          </w:p>
        </w:tc>
        <w:tc>
          <w:tcPr>
            <w:tcW w:type="dxa" w:w="2520"/>
            <w:shd w:fill="FFFFFF" w:val="clear"/>
            <w:tcMar>
              <w:top w:type="dxa" w:w="60"/>
              <w:left w:type="dxa" w:w="120"/>
              <w:bottom w:type="dxa" w:w="60"/>
              <w:right w:type="dxa" w:w="120"/>
            </w:tcMar>
          </w:tcPr>
          <w:p>
            <w:r>
              <w:rPr>
                <w:rFonts w:ascii="Arial" w:cs="Arial" w:eastAsia="Arial" w:hAnsi="Arial"/>
                <w:b w:val="false"/>
                <w:bCs w:val="false"/>
                <w:sz w:val="20"/>
                <w:szCs w:val="20"/>
              </w:rPr>
              <w:t xml:space="preserve">Fast</w:t>
            </w:r>
          </w:p>
        </w:tc>
        <w:tc>
          <w:tcPr>
            <w:tcW w:type="dxa" w:w="2520"/>
            <w:shd w:fill="FFFFFF" w:val="clear"/>
            <w:tcMar>
              <w:top w:type="dxa" w:w="60"/>
              <w:left w:type="dxa" w:w="120"/>
              <w:bottom w:type="dxa" w:w="60"/>
              <w:right w:type="dxa" w:w="120"/>
            </w:tcMar>
          </w:tcPr>
          <w:p>
            <w:r>
              <w:rPr>
                <w:rFonts w:ascii="Arial" w:cs="Arial" w:eastAsia="Arial" w:hAnsi="Arial"/>
                <w:b w:val="false"/>
                <w:bCs w:val="false"/>
                <w:sz w:val="20"/>
                <w:szCs w:val="20"/>
              </w:rPr>
              <w:t xml:space="preserve">Moderate</w:t>
            </w:r>
          </w:p>
        </w:tc>
      </w:tr>
    </w:tbl>
    <w:p>
      <w:r>
        <w:t xml:space="preserve"/>
      </w:r>
    </w:p>
    <w:p>
      <w:pPr>
        <w:pBdr>
          <w:bottom w:val="single" w:color="C89B3C" w:sz="4" w:space="4"/>
        </w:pBdr>
        <w:spacing w:after="160" w:before="320"/>
      </w:pPr>
      <w:r>
        <w:rPr>
          <w:rFonts w:ascii="Arial" w:cs="Arial" w:eastAsia="Arial" w:hAnsi="Arial"/>
          <w:b/>
          <w:bCs/>
          <w:color w:val="0D1B2A"/>
          <w:sz w:val="28"/>
          <w:szCs w:val="28"/>
        </w:rPr>
        <w:t xml:space="preserve">KEY TAKEAWAYS</w:t>
      </w:r>
    </w:p>
    <w:p>
      <w:r>
        <w:t xml:space="preserve"/>
      </w:r>
    </w:p>
    <w:p>
      <w:pPr>
        <w:pStyle w:val="ListParagraph"/>
        <w:numPr>
          <w:ilvl w:val="0"/>
          <w:numId w:val="2"/>
        </w:numPr>
        <w:spacing w:after="60" w:before="60"/>
      </w:pPr>
      <w:r>
        <w:rPr>
          <w:rFonts w:ascii="Arial" w:cs="Arial" w:eastAsia="Arial" w:hAnsi="Arial"/>
          <w:sz w:val="22"/>
          <w:szCs w:val="22"/>
        </w:rPr>
        <w:t xml:space="preserve">Line up at least one funding source before you start making offers.</w:t>
      </w:r>
    </w:p>
    <w:p>
      <w:pPr>
        <w:pStyle w:val="ListParagraph"/>
        <w:numPr>
          <w:ilvl w:val="0"/>
          <w:numId w:val="2"/>
        </w:numPr>
        <w:spacing w:after="60" w:before="60"/>
      </w:pPr>
      <w:r>
        <w:rPr>
          <w:rFonts w:ascii="Arial" w:cs="Arial" w:eastAsia="Arial" w:hAnsi="Arial"/>
          <w:sz w:val="22"/>
          <w:szCs w:val="22"/>
        </w:rPr>
        <w:t xml:space="preserve">Having multiple sources gives you more options and deeper pockets.</w:t>
      </w:r>
    </w:p>
    <w:p>
      <w:pPr>
        <w:pStyle w:val="ListParagraph"/>
        <w:numPr>
          <w:ilvl w:val="0"/>
          <w:numId w:val="2"/>
        </w:numPr>
        <w:spacing w:after="60" w:before="60"/>
      </w:pPr>
      <w:r>
        <w:rPr>
          <w:rFonts w:ascii="Arial" w:cs="Arial" w:eastAsia="Arial" w:hAnsi="Arial"/>
          <w:sz w:val="22"/>
          <w:szCs w:val="22"/>
        </w:rPr>
        <w:t xml:space="preserve">It isn't the cost of the money that matters — it's the availability.</w:t>
      </w:r>
    </w:p>
    <w:p>
      <w:pPr>
        <w:pStyle w:val="ListParagraph"/>
        <w:numPr>
          <w:ilvl w:val="0"/>
          <w:numId w:val="2"/>
        </w:numPr>
        <w:spacing w:after="60" w:before="60"/>
      </w:pPr>
      <w:r>
        <w:rPr>
          <w:rFonts w:ascii="Arial" w:cs="Arial" w:eastAsia="Arial" w:hAnsi="Arial"/>
          <w:sz w:val="22"/>
          <w:szCs w:val="22"/>
        </w:rPr>
        <w:t xml:space="preserve">Private lenders multiply when you pay them back on time. Relationships compound.</w:t>
      </w:r>
    </w:p>
    <w:p>
      <w:pPr>
        <w:pStyle w:val="ListParagraph"/>
        <w:numPr>
          <w:ilvl w:val="0"/>
          <w:numId w:val="2"/>
        </w:numPr>
        <w:spacing w:after="60" w:before="60"/>
      </w:pPr>
      <w:r>
        <w:rPr>
          <w:rFonts w:ascii="Arial" w:cs="Arial" w:eastAsia="Arial" w:hAnsi="Arial"/>
          <w:sz w:val="22"/>
          <w:szCs w:val="22"/>
        </w:rPr>
        <w:t xml:space="preserve">Always communicate early and often with lenders — especially when things change.</w:t>
      </w:r>
    </w:p>
    <w:p>
      <w:pPr>
        <w:pStyle w:val="ListParagraph"/>
        <w:numPr>
          <w:ilvl w:val="0"/>
          <w:numId w:val="2"/>
        </w:numPr>
        <w:spacing w:after="60" w:before="60"/>
      </w:pPr>
      <w:r>
        <w:rPr>
          <w:rFonts w:ascii="Arial" w:cs="Arial" w:eastAsia="Arial" w:hAnsi="Arial"/>
          <w:sz w:val="22"/>
          <w:szCs w:val="22"/>
        </w:rPr>
        <w:t xml:space="preserve">Hard money funds deals; private money scales businesses.</w:t>
      </w:r>
    </w:p>
    <w:p>
      <w:r>
        <w:t xml:space="preserve"/>
      </w:r>
    </w:p>
    <w:p>
      <w:pPr>
        <w:pBdr>
          <w:bottom w:val="single" w:color="C89B3C" w:sz="4" w:space="4"/>
        </w:pBdr>
        <w:spacing w:after="160" w:before="320"/>
      </w:pPr>
      <w:r>
        <w:rPr>
          <w:rFonts w:ascii="Arial" w:cs="Arial" w:eastAsia="Arial" w:hAnsi="Arial"/>
          <w:b/>
          <w:bCs/>
          <w:color w:val="0D1B2A"/>
          <w:sz w:val="28"/>
          <w:szCs w:val="28"/>
        </w:rPr>
        <w:t xml:space="preserve">GLOSSARY</w:t>
      </w:r>
    </w:p>
    <w:p>
      <w:r>
        <w:t xml:space="preserve"/>
      </w:r>
    </w:p>
    <w:p>
      <w:pPr>
        <w:spacing w:after="80" w:before="80"/>
      </w:pPr>
      <w:r>
        <w:rPr>
          <w:rFonts w:ascii="Arial" w:cs="Arial" w:eastAsia="Arial" w:hAnsi="Arial"/>
          <w:sz w:val="22"/>
          <w:szCs w:val="22"/>
        </w:rPr>
        <w:t xml:space="preserve">After Repair Value (ARV) — Estimated property value after all repairs and improvements are complete.</w:t>
      </w:r>
    </w:p>
    <w:p>
      <w:pPr>
        <w:spacing w:after="80" w:before="80"/>
      </w:pPr>
      <w:r>
        <w:rPr>
          <w:rFonts w:ascii="Arial" w:cs="Arial" w:eastAsia="Arial" w:hAnsi="Arial"/>
          <w:sz w:val="22"/>
          <w:szCs w:val="22"/>
        </w:rPr>
        <w:t xml:space="preserve">Deed of Trust — A security instrument used in some states instead of a mortgage.</w:t>
      </w:r>
    </w:p>
    <w:p>
      <w:pPr>
        <w:spacing w:after="80" w:before="80"/>
      </w:pPr>
      <w:r>
        <w:rPr>
          <w:rFonts w:ascii="Arial" w:cs="Arial" w:eastAsia="Arial" w:hAnsi="Arial"/>
          <w:sz w:val="22"/>
          <w:szCs w:val="22"/>
        </w:rPr>
        <w:t xml:space="preserve">Hard Money — Short-term, asset-based loans secured by real property.</w:t>
      </w:r>
    </w:p>
    <w:p>
      <w:pPr>
        <w:spacing w:after="80" w:before="80"/>
      </w:pPr>
      <w:r>
        <w:rPr>
          <w:rFonts w:ascii="Arial" w:cs="Arial" w:eastAsia="Arial" w:hAnsi="Arial"/>
          <w:sz w:val="22"/>
          <w:szCs w:val="22"/>
        </w:rPr>
        <w:t xml:space="preserve">LTV (Loan-to-Value) — Loan amount divided by appraised property value.</w:t>
      </w:r>
    </w:p>
    <w:p>
      <w:pPr>
        <w:spacing w:after="80" w:before="80"/>
      </w:pPr>
      <w:r>
        <w:rPr>
          <w:rFonts w:ascii="Arial" w:cs="Arial" w:eastAsia="Arial" w:hAnsi="Arial"/>
          <w:sz w:val="22"/>
          <w:szCs w:val="22"/>
        </w:rPr>
        <w:t xml:space="preserve">Owner Financing — Seller acts as the lender; buyer makes payments directly to seller.</w:t>
      </w:r>
    </w:p>
    <w:p>
      <w:pPr>
        <w:spacing w:after="80" w:before="80"/>
      </w:pPr>
      <w:r>
        <w:rPr>
          <w:rFonts w:ascii="Arial" w:cs="Arial" w:eastAsia="Arial" w:hAnsi="Arial"/>
          <w:sz w:val="22"/>
          <w:szCs w:val="22"/>
        </w:rPr>
        <w:t xml:space="preserve">Personal Guarantee — Individual agrees to be personally responsible for a business loan.</w:t>
      </w:r>
    </w:p>
    <w:p>
      <w:pPr>
        <w:spacing w:after="80" w:before="80"/>
      </w:pPr>
      <w:r>
        <w:rPr>
          <w:rFonts w:ascii="Arial" w:cs="Arial" w:eastAsia="Arial" w:hAnsi="Arial"/>
          <w:sz w:val="22"/>
          <w:szCs w:val="22"/>
        </w:rPr>
        <w:t xml:space="preserve">Private Money — Capital from individuals, secured by real estate.</w:t>
      </w:r>
    </w:p>
    <w:p>
      <w:pPr>
        <w:spacing w:after="80" w:before="80"/>
      </w:pPr>
      <w:r>
        <w:rPr>
          <w:rFonts w:ascii="Arial" w:cs="Arial" w:eastAsia="Arial" w:hAnsi="Arial"/>
          <w:sz w:val="22"/>
          <w:szCs w:val="22"/>
        </w:rPr>
        <w:t xml:space="preserve">Promissory Note — Written legal promise to repay a specified amount on specified terms.</w:t>
      </w:r>
    </w:p>
    <w:p>
      <w:pPr>
        <w:spacing w:after="80" w:before="80"/>
      </w:pPr>
      <w:r>
        <w:rPr>
          <w:rFonts w:ascii="Arial" w:cs="Arial" w:eastAsia="Arial" w:hAnsi="Arial"/>
          <w:sz w:val="22"/>
          <w:szCs w:val="22"/>
        </w:rPr>
        <w:t xml:space="preserve">Subject-To — Acquiring property while leaving the existing mortgage in the seller's name.</w:t>
      </w:r>
    </w:p>
    <w:p>
      <w:r>
        <w:t xml:space="preserve"/>
      </w:r>
    </w:p>
    <w:p>
      <w:pPr>
        <w:pBdr>
          <w:top w:val="single" w:color="CCCCCC" w:sz="2" w:space="4"/>
        </w:pBdr>
        <w:spacing w:after="80" w:before="400"/>
      </w:pPr>
      <w:r>
        <w:rPr>
          <w:rFonts w:ascii="Arial" w:cs="Arial" w:eastAsia="Arial" w:hAnsi="Arial"/>
          <w:i/>
          <w:iCs/>
          <w:color w:val="666666"/>
          <w:sz w:val="16"/>
          <w:szCs w:val="16"/>
        </w:rPr>
        <w:t xml:space="preserve">DISCLAIMER: This document is provided for educational purposes only and does not constitute legal, financial, or investment advice. [YOUR COMPANY] and The Dessauer Group make no representations or warranties. Consult qualified legal and financial professionals before acting on any information herein.</w:t>
      </w:r>
    </w:p>
    <w:sectPr>
      <w:headerReference w:type="default" r:id="rId7"/>
      <w:footerReference w:type="default" r:id="rId8"/>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B3C" w:sz="4" w:space="4"/>
      </w:pBdr>
      <w:tabs>
        <w:tab w:val="right" w:pos="10080"/>
      </w:tabs>
    </w:pPr>
    <w:r>
      <w:rPr>
        <w:rFonts w:ascii="Arial" w:cs="Arial" w:eastAsia="Arial" w:hAnsi="Arial"/>
        <w:color w:val="0D1B2A"/>
        <w:sz w:val="16"/>
        <w:szCs w:val="16"/>
      </w:rPr>
      <w:t xml:space="preserve">FORGE | Powered by ARIS | ForgedByAris.com</w:t>
    </w:r>
    <w:r>
      <w:rPr>
        <w:rFonts w:ascii="Arial" w:cs="Arial" w:eastAsia="Arial" w:hAnsi="Arial"/>
        <w:color w:val="0D1B2A"/>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left w:val="none"/>
        <w:bottom w:val="single" w:color="C89B3C" w:sz="6"/>
        <w:right w:val="none"/>
        <w:insideH w:val="single" w:color="auto" w:sz="4"/>
        <w:insideV w:val="single" w:color="auto" w:sz="4"/>
      </w:tblBorders>
    </w:tblPr>
    <w:tblGrid>
      <w:gridCol w:w="7560"/>
      <w:gridCol w:w="2520"/>
    </w:tblGrid>
    <w:tr>
      <w:tc>
        <w:tcPr>
          <w:tcW w:type="dxa" w:w="7560"/>
          <w:shd w:fill="0D1B2A" w:val="clear"/>
          <w:tcMar>
            <w:top w:type="dxa" w:w="80"/>
            <w:left w:type="dxa" w:w="120"/>
            <w:bottom w:type="dxa" w:w="80"/>
            <w:right w:type="dxa" w:w="120"/>
          </w:tcMar>
        </w:tcPr>
        <w:p>
          <w:r>
            <w:rPr>
              <w:rFonts w:ascii="Arial" w:cs="Arial" w:eastAsia="Arial" w:hAnsi="Arial"/>
              <w:b/>
              <w:bCs/>
              <w:color w:val="FFFFFF"/>
              <w:sz w:val="28"/>
              <w:szCs w:val="28"/>
            </w:rPr>
            <w:t xml:space="preserve">FORGE</w:t>
          </w:r>
        </w:p>
        <w:p>
          <w:r>
            <w:rPr>
              <w:rFonts w:ascii="Arial" w:cs="Arial" w:eastAsia="Arial" w:hAnsi="Arial"/>
              <w:color w:val="C89B3C"/>
              <w:sz w:val="20"/>
              <w:szCs w:val="20"/>
            </w:rPr>
            <w:t xml:space="preserve">Financing &amp; Capital Curriculum Guide</w:t>
          </w:r>
        </w:p>
      </w:tc>
      <w:tc>
        <w:tcPr>
          <w:tcW w:type="dxa" w:w="2520"/>
          <w:shd w:fill="0D1B2A" w:val="clear"/>
          <w:tcMar>
            <w:top w:type="dxa" w:w="80"/>
            <w:left w:type="dxa" w:w="120"/>
            <w:bottom w:type="dxa" w:w="80"/>
            <w:right w:type="dxa" w:w="120"/>
          </w:tcMar>
          <w:vAlign w:val="center"/>
        </w:tcPr>
        <w:p>
          <w:pPr>
            <w:jc w:val="right"/>
          </w:pPr>
          <w:r>
            <w:rPr>
              <w:rFonts w:ascii="Arial" w:cs="Arial" w:eastAsia="Arial" w:hAnsi="Arial"/>
              <w:i/>
              <w:iCs/>
              <w:color w:val="C89B3C"/>
              <w:sz w:val="16"/>
              <w:szCs w:val="16"/>
            </w:rPr>
            <w:t xml:space="preserve">Powered by ARIS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2026-06-15T21:53:07.675Z</dcterms:created>
  <dcterms:modified xsi:type="dcterms:W3CDTF">2026-06-15T21:53:07.675Z</dcterms:modified>
</cp:coreProperties>
</file>

<file path=docProps/custom.xml><?xml version="1.0" encoding="utf-8"?>
<Properties xmlns="http://schemas.openxmlformats.org/officeDocument/2006/custom-properties" xmlns:vt="http://schemas.openxmlformats.org/officeDocument/2006/docPropsVTypes"/>
</file>