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Loan Modification System Guide</w:t>
            </w:r>
          </w:p>
          <w:p>
            <w:pPr>
              <w:jc w:val="right"/>
            </w:pPr>
            <w:r>
              <w:rPr>
                <w:rFonts w:ascii="Arial" w:cs="Arial" w:eastAsia="Arial" w:hAnsi="Arial"/>
                <w:color w:val="C89B3C"/>
                <w:sz w:val="16"/>
                <w:szCs w:val="16"/>
              </w:rPr>
              <w:t xml:space="preserve">Complete Homeowner &amp; Investor Education Reference</w:t>
            </w:r>
          </w:p>
        </w:tc>
      </w:tr>
    </w:tbl>
    <w:p>
      <w:pPr>
        <w:spacing w:after="0" w:before="120"/>
      </w:pPr>
      <w:r>
        <w:t xml:space="preserve"/>
      </w:r>
    </w:p>
    <w:p>
      <w:pPr>
        <w:spacing w:after="0" w:before="80"/>
      </w:pPr>
      <w:r>
        <w:rPr>
          <w:rFonts w:ascii="Arial" w:cs="Arial" w:eastAsia="Arial" w:hAnsi="Arial"/>
          <w:b w:val="false"/>
          <w:bCs w:val="false"/>
          <w:color w:val="000000"/>
          <w:sz w:val="18"/>
          <w:szCs w:val="18"/>
        </w:rPr>
        <w:t xml:space="preserve">This guide is your comprehensive reference for understanding loan modification programs, homeowner rights, and the loss mitigation process. Use it as an educational leave-behind for homeowners in distress, or as a personal reference when working short sale and pre-foreclosure leads.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1 — WHAT IS A LOAN MODIFICATION?</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A loan modification is a permanent or temporary change to the terms of an existing mortgage loan — made by the lender — that makes the loan more affordable for a homeowner who is struggling to make payments. It is NOT a new loan and does NOT require refinancing.</w:t>
      </w:r>
    </w:p>
    <w:p>
      <w:pPr>
        <w:spacing w:after="0" w:before="60"/>
      </w:pPr>
      <w:r>
        <w:t xml:space="preserve"/>
      </w:r>
    </w:p>
    <w:p>
      <w:pPr>
        <w:spacing w:after="0" w:before="80"/>
      </w:pPr>
      <w:r>
        <w:rPr>
          <w:rFonts w:ascii="Arial" w:cs="Arial" w:eastAsia="Arial" w:hAnsi="Arial"/>
          <w:b w:val="false"/>
          <w:bCs w:val="false"/>
          <w:color w:val="000000"/>
          <w:sz w:val="18"/>
          <w:szCs w:val="18"/>
        </w:rPr>
        <w:t xml:space="preserve">Common modifications include:</w:t>
      </w:r>
    </w:p>
    <w:p>
      <w:pPr>
        <w:spacing w:after="0" w:before="40"/>
      </w:pPr>
      <w:r>
        <w:t xml:space="preserve"/>
      </w:r>
    </w:p>
    <w:p>
      <w:pPr>
        <w:spacing w:after="0" w:before="60"/>
        <w:ind w:left="360" w:hanging="200"/>
      </w:pPr>
      <w:r>
        <w:rPr>
          <w:rFonts w:ascii="Arial" w:cs="Arial" w:eastAsia="Arial" w:hAnsi="Arial"/>
          <w:sz w:val="18"/>
          <w:szCs w:val="18"/>
        </w:rPr>
        <w:t xml:space="preserve">•  Reducing the interest rate (permanently or temporarily)</w:t>
      </w:r>
    </w:p>
    <w:p>
      <w:pPr>
        <w:spacing w:after="0" w:before="60"/>
        <w:ind w:left="360" w:hanging="200"/>
      </w:pPr>
      <w:r>
        <w:rPr>
          <w:rFonts w:ascii="Arial" w:cs="Arial" w:eastAsia="Arial" w:hAnsi="Arial"/>
          <w:sz w:val="18"/>
          <w:szCs w:val="18"/>
        </w:rPr>
        <w:t xml:space="preserve">•  Extending the loan term (e.g., from 30 years to 40 years)</w:t>
      </w:r>
    </w:p>
    <w:p>
      <w:pPr>
        <w:spacing w:after="0" w:before="60"/>
        <w:ind w:left="360" w:hanging="200"/>
      </w:pPr>
      <w:r>
        <w:rPr>
          <w:rFonts w:ascii="Arial" w:cs="Arial" w:eastAsia="Arial" w:hAnsi="Arial"/>
          <w:sz w:val="18"/>
          <w:szCs w:val="18"/>
        </w:rPr>
        <w:t xml:space="preserve">•  Converting an adjustable rate to a fixed rate</w:t>
      </w:r>
    </w:p>
    <w:p>
      <w:pPr>
        <w:spacing w:after="0" w:before="60"/>
        <w:ind w:left="360" w:hanging="200"/>
      </w:pPr>
      <w:r>
        <w:rPr>
          <w:rFonts w:ascii="Arial" w:cs="Arial" w:eastAsia="Arial" w:hAnsi="Arial"/>
          <w:sz w:val="18"/>
          <w:szCs w:val="18"/>
        </w:rPr>
        <w:t xml:space="preserve">•  Adding missed payments to the end of the loan (capitalization of arrears)</w:t>
      </w:r>
    </w:p>
    <w:p>
      <w:pPr>
        <w:spacing w:after="0" w:before="60"/>
        <w:ind w:left="360" w:hanging="200"/>
      </w:pPr>
      <w:r>
        <w:rPr>
          <w:rFonts w:ascii="Arial" w:cs="Arial" w:eastAsia="Arial" w:hAnsi="Arial"/>
          <w:sz w:val="18"/>
          <w:szCs w:val="18"/>
        </w:rPr>
        <w:t xml:space="preserve">•  Reducing the principal balance (rare — only in specific qualifying programs)</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Key distinction: Trial vs. Permanent Modification</w:t>
            </w:r>
          </w:p>
          <w:p>
            <w:pPr>
              <w:spacing w:after="0" w:before="40"/>
            </w:pPr>
            <w:r>
              <w:rPr>
                <w:rFonts w:ascii="Arial" w:cs="Arial" w:eastAsia="Arial" w:hAnsi="Arial"/>
                <w:sz w:val="17"/>
                <w:szCs w:val="17"/>
              </w:rPr>
              <w:t xml:space="preserve">A Trial Loan Modification typically lasts 3–18 months and is a test period during which the homeowner makes reduced payments. If the homeowner successfully completes the trial, the lender may offer a Full Permanent Modification — a full recast of the loan for 30–40 years with new terms. There are generally no extensions beyond the trial period.</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2 — WHO QUALIFIES FOR A LOAN MODIFICATION?</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General qualifying criteria vary by lender and program, but most lenders evaluate:</w:t>
      </w:r>
    </w:p>
    <w:p>
      <w:pPr>
        <w:spacing w:after="0" w:before="40"/>
      </w:pPr>
      <w:r>
        <w:t xml:space="preserve"/>
      </w:r>
    </w:p>
    <w:p>
      <w:pPr>
        <w:spacing w:after="0" w:before="60"/>
        <w:ind w:left="360" w:hanging="200"/>
      </w:pPr>
      <w:r>
        <w:rPr>
          <w:rFonts w:ascii="Arial" w:cs="Arial" w:eastAsia="Arial" w:hAnsi="Arial"/>
          <w:sz w:val="18"/>
          <w:szCs w:val="18"/>
        </w:rPr>
        <w:t xml:space="preserve">•  Financial hardship — job loss, reduced income, medical expenses, divorce, death of a spouse</w:t>
      </w:r>
    </w:p>
    <w:p>
      <w:pPr>
        <w:spacing w:after="0" w:before="60"/>
        <w:ind w:left="360" w:hanging="200"/>
      </w:pPr>
      <w:r>
        <w:rPr>
          <w:rFonts w:ascii="Arial" w:cs="Arial" w:eastAsia="Arial" w:hAnsi="Arial"/>
          <w:sz w:val="18"/>
          <w:szCs w:val="18"/>
        </w:rPr>
        <w:t xml:space="preserve">•  Inability to make the current mortgage payment on a sustained basis</w:t>
      </w:r>
    </w:p>
    <w:p>
      <w:pPr>
        <w:spacing w:after="0" w:before="60"/>
        <w:ind w:left="360" w:hanging="200"/>
      </w:pPr>
      <w:r>
        <w:rPr>
          <w:rFonts w:ascii="Arial" w:cs="Arial" w:eastAsia="Arial" w:hAnsi="Arial"/>
          <w:sz w:val="18"/>
          <w:szCs w:val="18"/>
        </w:rPr>
        <w:t xml:space="preserve">•  The property is the homeowner's primary residence (most programs exclude investment properties and vacation homes)</w:t>
      </w:r>
    </w:p>
    <w:p>
      <w:pPr>
        <w:spacing w:after="0" w:before="60"/>
        <w:ind w:left="360" w:hanging="200"/>
      </w:pPr>
      <w:r>
        <w:rPr>
          <w:rFonts w:ascii="Arial" w:cs="Arial" w:eastAsia="Arial" w:hAnsi="Arial"/>
          <w:sz w:val="18"/>
          <w:szCs w:val="18"/>
        </w:rPr>
        <w:t xml:space="preserve">•  The loan is not already in a prior permanent modification that is performing</w:t>
      </w:r>
    </w:p>
    <w:p>
      <w:pPr>
        <w:spacing w:after="0" w:before="60"/>
        <w:ind w:left="360" w:hanging="200"/>
      </w:pPr>
      <w:r>
        <w:rPr>
          <w:rFonts w:ascii="Arial" w:cs="Arial" w:eastAsia="Arial" w:hAnsi="Arial"/>
          <w:sz w:val="18"/>
          <w:szCs w:val="18"/>
        </w:rPr>
        <w:t xml:space="preserve">•  The homeowner has not filed for bankruptcy (some programs still allow modification — consult an attorney)</w:t>
      </w:r>
    </w:p>
    <w:p>
      <w:pPr>
        <w:spacing w:after="0" w:before="60"/>
      </w:pPr>
      <w:r>
        <w:t xml:space="preserve"/>
      </w:r>
    </w:p>
    <w:p>
      <w:pPr>
        <w:spacing w:after="0" w:before="80"/>
      </w:pPr>
      <w:r>
        <w:rPr>
          <w:rFonts w:ascii="Arial" w:cs="Arial" w:eastAsia="Arial" w:hAnsi="Arial"/>
          <w:b w:val="false"/>
          <w:bCs w:val="false"/>
          <w:color w:val="000000"/>
          <w:sz w:val="18"/>
          <w:szCs w:val="18"/>
        </w:rPr>
        <w:t xml:space="preserve">Homeowners do NOT need to be delinquent on their mortgage to apply for a modification in most cases. However, many lenders will not seriously evaluate a modification request until the borrower is 60–90 days behind.</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Important</w:t>
            </w:r>
          </w:p>
          <w:p>
            <w:pPr>
              <w:spacing w:after="0" w:before="40"/>
            </w:pPr>
            <w:r>
              <w:rPr>
                <w:rFonts w:ascii="Arial" w:cs="Arial" w:eastAsia="Arial" w:hAnsi="Arial"/>
                <w:sz w:val="17"/>
                <w:szCs w:val="17"/>
              </w:rPr>
              <w:t xml:space="preserve">Homeowners should be cautious about intentionally defaulting to trigger a modification review. Missed payments damage credit, may trigger late fees and default interest, and do not guarantee approval. Always consult a HUD-approved housing counselor or attorney before stopping payments.</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3 — KEY LOSS MITIGATION PROGRAMS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Programs vary by loan type, lender, and state. The following are the most commonly available options:</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60"/>
              <w:left w:type="dxa" w:w="120"/>
              <w:bottom w:type="dxa" w:w="60"/>
              <w:right w:type="dxa" w:w="120"/>
            </w:tcMar>
          </w:tcPr>
          <w:p>
            <w:r>
              <w:rPr>
                <w:rFonts w:ascii="Arial" w:cs="Arial" w:eastAsia="Arial" w:hAnsi="Arial"/>
                <w:b/>
                <w:bCs/>
                <w:color w:val="C89B3C"/>
                <w:sz w:val="18"/>
                <w:szCs w:val="18"/>
              </w:rPr>
              <w:t xml:space="preserve">3A — Federal Loan Modification Programs</w:t>
            </w:r>
          </w:p>
        </w:tc>
      </w:tr>
    </w:tbl>
    <w:p>
      <w:pPr>
        <w:spacing w:after="0" w:before="60"/>
      </w:pPr>
      <w:r>
        <w:t xml:space="preserve"/>
      </w:r>
    </w:p>
    <w:p>
      <w:pPr>
        <w:spacing w:after="0" w:before="60"/>
        <w:ind w:left="360" w:hanging="200"/>
      </w:pPr>
      <w:r>
        <w:rPr>
          <w:rFonts w:ascii="Arial" w:cs="Arial" w:eastAsia="Arial" w:hAnsi="Arial"/>
          <w:sz w:val="18"/>
          <w:szCs w:val="18"/>
        </w:rPr>
        <w:t xml:space="preserve">•  HAMP (Home Affordable Modification Program) — The original federal program. Expired in December 2016 but many of its principles continue in lender-proprietary programs.</w:t>
      </w:r>
    </w:p>
    <w:p>
      <w:pPr>
        <w:spacing w:after="0" w:before="60"/>
        <w:ind w:left="360" w:hanging="200"/>
      </w:pPr>
      <w:r>
        <w:rPr>
          <w:rFonts w:ascii="Arial" w:cs="Arial" w:eastAsia="Arial" w:hAnsi="Arial"/>
          <w:sz w:val="18"/>
          <w:szCs w:val="18"/>
        </w:rPr>
        <w:t xml:space="preserve">•  Flex Modification (Fannie Mae / Freddie Mac) — The successor to HAMP for GSE-backed loans. Available to borrowers who are 60+ days delinquent. Can reduce monthly payments by up to 20%.</w:t>
      </w:r>
    </w:p>
    <w:p>
      <w:pPr>
        <w:spacing w:after="0" w:before="60"/>
        <w:ind w:left="360" w:hanging="200"/>
      </w:pPr>
      <w:r>
        <w:rPr>
          <w:rFonts w:ascii="Arial" w:cs="Arial" w:eastAsia="Arial" w:hAnsi="Arial"/>
          <w:sz w:val="18"/>
          <w:szCs w:val="18"/>
        </w:rPr>
        <w:t xml:space="preserve">•  FHA Loss Mitigation — Available for FHA-insured loans. Includes special forbearance, loan modifications, and partial claims. Contact your servicer or a HUD-approved counselor.</w:t>
      </w:r>
    </w:p>
    <w:p>
      <w:pPr>
        <w:spacing w:after="0" w:before="60"/>
        <w:ind w:left="360" w:hanging="200"/>
      </w:pPr>
      <w:r>
        <w:rPr>
          <w:rFonts w:ascii="Arial" w:cs="Arial" w:eastAsia="Arial" w:hAnsi="Arial"/>
          <w:sz w:val="18"/>
          <w:szCs w:val="18"/>
        </w:rPr>
        <w:t xml:space="preserve">•  VA Compromise Sale and Refunding — Available for VA-guaranteed loans. Servicers are required to evaluate all VA borrowers for loss mitigation before initiating foreclosure.</w:t>
      </w:r>
    </w:p>
    <w:p>
      <w:pPr>
        <w:spacing w:after="0" w:before="60"/>
        <w:ind w:left="360" w:hanging="200"/>
      </w:pPr>
      <w:r>
        <w:rPr>
          <w:rFonts w:ascii="Arial" w:cs="Arial" w:eastAsia="Arial" w:hAnsi="Arial"/>
          <w:sz w:val="18"/>
          <w:szCs w:val="18"/>
        </w:rPr>
        <w:t xml:space="preserve">•  USDA Rural Development Loss Mitigation — Available for USDA-guaranteed loans in qualifying rural areas.</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60"/>
              <w:left w:type="dxa" w:w="120"/>
              <w:bottom w:type="dxa" w:w="60"/>
              <w:right w:type="dxa" w:w="120"/>
            </w:tcMar>
          </w:tcPr>
          <w:p>
            <w:r>
              <w:rPr>
                <w:rFonts w:ascii="Arial" w:cs="Arial" w:eastAsia="Arial" w:hAnsi="Arial"/>
                <w:b/>
                <w:bCs/>
                <w:color w:val="C89B3C"/>
                <w:sz w:val="18"/>
                <w:szCs w:val="18"/>
              </w:rPr>
              <w:t xml:space="preserve">3B — State-Specific Programs</w:t>
            </w:r>
          </w:p>
        </w:tc>
      </w:tr>
    </w:tbl>
    <w:p>
      <w:pPr>
        <w:spacing w:after="0" w:before="60"/>
      </w:pPr>
      <w:r>
        <w:t xml:space="preserve"/>
      </w:r>
    </w:p>
    <w:p>
      <w:pPr>
        <w:spacing w:after="0" w:before="60"/>
        <w:ind w:left="360" w:hanging="200"/>
      </w:pPr>
      <w:r>
        <w:rPr>
          <w:rFonts w:ascii="Arial" w:cs="Arial" w:eastAsia="Arial" w:hAnsi="Arial"/>
          <w:sz w:val="18"/>
          <w:szCs w:val="18"/>
        </w:rPr>
        <w:t xml:space="preserve">•  Keep Your Home California (KYHC) — A California program funded through the federal Hardest Hit Fund. Included Unemployment Mortgage Assistance, Mortgage Reinstatement Assistance, Principal Reduction, and Transition Assistance. Note: KYHC closed to new applications in 2018. Check your state for current programs.</w:t>
      </w:r>
    </w:p>
    <w:p>
      <w:pPr>
        <w:spacing w:after="0" w:before="60"/>
        <w:ind w:left="360" w:hanging="200"/>
      </w:pPr>
      <w:r>
        <w:rPr>
          <w:rFonts w:ascii="Arial" w:cs="Arial" w:eastAsia="Arial" w:hAnsi="Arial"/>
          <w:sz w:val="18"/>
          <w:szCs w:val="18"/>
        </w:rPr>
        <w:t xml:space="preserve">•  Mortgage Reinstatement Assistance — Provided a one-time lump sum to bring a delinquent mortgage current. Eligibility required documented financial hardship.</w:t>
      </w:r>
    </w:p>
    <w:p>
      <w:pPr>
        <w:spacing w:after="0" w:before="60"/>
        <w:ind w:left="360" w:hanging="200"/>
      </w:pPr>
      <w:r>
        <w:rPr>
          <w:rFonts w:ascii="Arial" w:cs="Arial" w:eastAsia="Arial" w:hAnsi="Arial"/>
          <w:sz w:val="18"/>
          <w:szCs w:val="18"/>
        </w:rPr>
        <w:t xml:space="preserve">•  Principal Reduction Program — Available to homeowners who owed significantly more than their home was worth (severely underwater). Required lender participation; many lenders declined.</w:t>
      </w:r>
    </w:p>
    <w:p>
      <w:pPr>
        <w:spacing w:after="0" w:before="60"/>
        <w:ind w:left="360" w:hanging="200"/>
      </w:pPr>
      <w:r>
        <w:rPr>
          <w:rFonts w:ascii="Arial" w:cs="Arial" w:eastAsia="Arial" w:hAnsi="Arial"/>
          <w:sz w:val="18"/>
          <w:szCs w:val="18"/>
        </w:rPr>
        <w:t xml:space="preserve">•  Unemployment Mortgage Assistance — Provided temporary mortgage payment subsidies to unemployed homeowners actively seeking work.</w:t>
      </w:r>
    </w:p>
    <w:p>
      <w:pPr>
        <w:spacing w:after="0" w:before="60"/>
        <w:ind w:left="360" w:hanging="200"/>
      </w:pPr>
      <w:r>
        <w:rPr>
          <w:rFonts w:ascii="Arial" w:cs="Arial" w:eastAsia="Arial" w:hAnsi="Arial"/>
          <w:sz w:val="18"/>
          <w:szCs w:val="18"/>
        </w:rPr>
        <w:t xml:space="preserve">•  Transition Assistance Program — Provided relocation assistance funds to homeowners completing a short sale or deed-in-lieu of foreclosure.</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60"/>
              <w:left w:type="dxa" w:w="120"/>
              <w:bottom w:type="dxa" w:w="60"/>
              <w:right w:type="dxa" w:w="120"/>
            </w:tcMar>
          </w:tcPr>
          <w:p>
            <w:r>
              <w:rPr>
                <w:rFonts w:ascii="Arial" w:cs="Arial" w:eastAsia="Arial" w:hAnsi="Arial"/>
                <w:b/>
                <w:bCs/>
                <w:color w:val="C89B3C"/>
                <w:sz w:val="18"/>
                <w:szCs w:val="18"/>
              </w:rPr>
              <w:t xml:space="preserve">3C — Lender-Proprietary Programs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In addition to federal and state programs, most major lenders maintain their own internal loss mitigation programs. These are not publicly advertised. A homeowner's best tool to access them is:</w:t>
      </w:r>
    </w:p>
    <w:p>
      <w:pPr>
        <w:spacing w:after="0" w:before="40"/>
      </w:pPr>
      <w:r>
        <w:t xml:space="preserve"/>
      </w:r>
    </w:p>
    <w:p>
      <w:pPr>
        <w:spacing w:after="0" w:before="60"/>
        <w:ind w:left="360" w:hanging="200"/>
      </w:pPr>
      <w:r>
        <w:rPr>
          <w:rFonts w:ascii="Arial" w:cs="Arial" w:eastAsia="Arial" w:hAnsi="Arial"/>
          <w:sz w:val="18"/>
          <w:szCs w:val="18"/>
        </w:rPr>
        <w:t xml:space="preserve">•  Calling the servicer's loss mitigation department directly (NOT the general customer service line)</w:t>
      </w:r>
    </w:p>
    <w:p>
      <w:pPr>
        <w:spacing w:after="0" w:before="60"/>
        <w:ind w:left="360" w:hanging="200"/>
      </w:pPr>
      <w:r>
        <w:rPr>
          <w:rFonts w:ascii="Arial" w:cs="Arial" w:eastAsia="Arial" w:hAnsi="Arial"/>
          <w:sz w:val="18"/>
          <w:szCs w:val="18"/>
        </w:rPr>
        <w:t xml:space="preserve">•  Working with a HUD-approved housing counselor (free service)</w:t>
      </w:r>
    </w:p>
    <w:p>
      <w:pPr>
        <w:spacing w:after="0" w:before="60"/>
        <w:ind w:left="360" w:hanging="200"/>
      </w:pPr>
      <w:r>
        <w:rPr>
          <w:rFonts w:ascii="Arial" w:cs="Arial" w:eastAsia="Arial" w:hAnsi="Arial"/>
          <w:sz w:val="18"/>
          <w:szCs w:val="18"/>
        </w:rPr>
        <w:t xml:space="preserve">•  Submitting a complete Borrower Financial Package (see Section 5)</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4 — HOMEOWNER RIGHTS IN LOSS MITIGATION</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Homeowners have significant legal protections during the loan modification and foreclosure process. Key rights include:</w:t>
      </w:r>
    </w:p>
    <w:p>
      <w:pPr>
        <w:spacing w:after="0" w:before="40"/>
      </w:pPr>
      <w:r>
        <w:t xml:space="preserve"/>
      </w:r>
    </w:p>
    <w:p>
      <w:pPr>
        <w:spacing w:after="0" w:before="60"/>
        <w:ind w:left="360" w:hanging="200"/>
      </w:pPr>
      <w:r>
        <w:rPr>
          <w:rFonts w:ascii="Arial" w:cs="Arial" w:eastAsia="Arial" w:hAnsi="Arial"/>
          <w:sz w:val="18"/>
          <w:szCs w:val="18"/>
        </w:rPr>
        <w:t xml:space="preserve">•  Dual tracking protection — Federal rules (RESPA/Regulation X) and many state laws prohibit servicers from proceeding with foreclosure while a complete loss mitigation application is under review. If you submit a complete application 37+ days before a scheduled foreclosure sale, the servicer must pause the foreclosure.</w:t>
      </w:r>
    </w:p>
    <w:p>
      <w:pPr>
        <w:spacing w:after="0" w:before="60"/>
        <w:ind w:left="360" w:hanging="200"/>
      </w:pPr>
      <w:r>
        <w:rPr>
          <w:rFonts w:ascii="Arial" w:cs="Arial" w:eastAsia="Arial" w:hAnsi="Arial"/>
          <w:sz w:val="18"/>
          <w:szCs w:val="18"/>
        </w:rPr>
        <w:t xml:space="preserve">•  Right to a written decision — Servicers must provide written notification of their decision on any complete loss mitigation application, including specific reasons for denial.</w:t>
      </w:r>
    </w:p>
    <w:p>
      <w:pPr>
        <w:spacing w:after="0" w:before="60"/>
        <w:ind w:left="360" w:hanging="200"/>
      </w:pPr>
      <w:r>
        <w:rPr>
          <w:rFonts w:ascii="Arial" w:cs="Arial" w:eastAsia="Arial" w:hAnsi="Arial"/>
          <w:sz w:val="18"/>
          <w:szCs w:val="18"/>
        </w:rPr>
        <w:t xml:space="preserve">•  Right to appeal — If denied, borrowers have 14 days to appeal most decisions. The appeal must be reviewed by a different person than the original reviewer.</w:t>
      </w:r>
    </w:p>
    <w:p>
      <w:pPr>
        <w:spacing w:after="0" w:before="60"/>
        <w:ind w:left="360" w:hanging="200"/>
      </w:pPr>
      <w:r>
        <w:rPr>
          <w:rFonts w:ascii="Arial" w:cs="Arial" w:eastAsia="Arial" w:hAnsi="Arial"/>
          <w:sz w:val="18"/>
          <w:szCs w:val="18"/>
        </w:rPr>
        <w:t xml:space="preserve">•  Single point of contact — Servicers must assign a specific person (or team) as the homeowner's primary contact throughout the loss mitigation process.</w:t>
      </w:r>
    </w:p>
    <w:p>
      <w:pPr>
        <w:spacing w:after="0" w:before="60"/>
        <w:ind w:left="360" w:hanging="200"/>
      </w:pPr>
      <w:r>
        <w:rPr>
          <w:rFonts w:ascii="Arial" w:cs="Arial" w:eastAsia="Arial" w:hAnsi="Arial"/>
          <w:sz w:val="18"/>
          <w:szCs w:val="18"/>
        </w:rPr>
        <w:t xml:space="preserve">•  Prohibition on fees during review — Servicers generally cannot charge fees for loss mitigation evaluation or application processing.</w:t>
      </w:r>
    </w:p>
    <w:p>
      <w:pPr>
        <w:spacing w:after="0" w:before="60"/>
        <w:ind w:left="360" w:hanging="200"/>
      </w:pPr>
      <w:r>
        <w:rPr>
          <w:rFonts w:ascii="Arial" w:cs="Arial" w:eastAsia="Arial" w:hAnsi="Arial"/>
          <w:sz w:val="18"/>
          <w:szCs w:val="18"/>
        </w:rPr>
        <w:t xml:space="preserve">•  Right to housing counseling — HUD-approved housing counselors provide FREE assistance. Contact 1-800-569-4287 or visit www.hud.gov to find a counselor near you.</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Watch Out For Scams</w:t>
            </w:r>
          </w:p>
          <w:p>
            <w:pPr>
              <w:spacing w:after="0" w:before="40"/>
            </w:pPr>
            <w:r>
              <w:rPr>
                <w:rFonts w:ascii="Arial" w:cs="Arial" w:eastAsia="Arial" w:hAnsi="Arial"/>
                <w:sz w:val="17"/>
                <w:szCs w:val="17"/>
              </w:rPr>
              <w:t xml:space="preserve">Be extremely cautious of any third party — including attorneys — who charges upfront fees to assist with a loan modification. It is illegal in most states to charge upfront fees for loan modification services before the modification is completed. Homeowners can apply for modifications directly with their servicer at no cost. Refer all suspicious contacts to your state attorney general's office.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5 — HOW TO APPLY FOR A LOAN MODIFICATION</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Step 1: Contact your servicer's loss mitigation department. Ask specifically for the Loss Mitigation or Home Retention department — not general customer service.</w:t>
      </w:r>
    </w:p>
    <w:p>
      <w:pPr>
        <w:spacing w:after="0" w:before="60"/>
      </w:pPr>
      <w:r>
        <w:t xml:space="preserve"/>
      </w:r>
    </w:p>
    <w:p>
      <w:pPr>
        <w:spacing w:after="0" w:before="80"/>
      </w:pPr>
      <w:r>
        <w:rPr>
          <w:rFonts w:ascii="Arial" w:cs="Arial" w:eastAsia="Arial" w:hAnsi="Arial"/>
          <w:b w:val="false"/>
          <w:bCs w:val="false"/>
          <w:color w:val="000000"/>
          <w:sz w:val="18"/>
          <w:szCs w:val="18"/>
        </w:rPr>
        <w:t xml:space="preserve">Step 2: Request a Borrower Assistance Package (also called a Uniform Borrower Assistance Form or RMA — Request for Mortgage Assistance). Your servicer is required to provide this at no cost.</w:t>
      </w:r>
    </w:p>
    <w:p>
      <w:pPr>
        <w:spacing w:after="0" w:before="60"/>
      </w:pPr>
      <w:r>
        <w:t xml:space="preserve"/>
      </w:r>
    </w:p>
    <w:p>
      <w:pPr>
        <w:spacing w:after="0" w:before="80"/>
      </w:pPr>
      <w:r>
        <w:rPr>
          <w:rFonts w:ascii="Arial" w:cs="Arial" w:eastAsia="Arial" w:hAnsi="Arial"/>
          <w:b w:val="false"/>
          <w:bCs w:val="false"/>
          <w:color w:val="000000"/>
          <w:sz w:val="18"/>
          <w:szCs w:val="18"/>
        </w:rPr>
        <w:t xml:space="preserve">Step 3: Gather your financial documentation. A complete package typically includes:</w:t>
      </w:r>
    </w:p>
    <w:p>
      <w:pPr>
        <w:spacing w:after="0" w:before="40"/>
      </w:pPr>
      <w:r>
        <w:t xml:space="preserve"/>
      </w:r>
    </w:p>
    <w:p>
      <w:pPr>
        <w:spacing w:after="0" w:before="60"/>
        <w:ind w:left="360" w:hanging="200"/>
      </w:pPr>
      <w:r>
        <w:rPr>
          <w:rFonts w:ascii="Arial" w:cs="Arial" w:eastAsia="Arial" w:hAnsi="Arial"/>
          <w:sz w:val="18"/>
          <w:szCs w:val="18"/>
        </w:rPr>
        <w:t xml:space="preserve">•  Hardship letter explaining the reason you cannot make payments (signed and dated)</w:t>
      </w:r>
    </w:p>
    <w:p>
      <w:pPr>
        <w:spacing w:after="0" w:before="60"/>
        <w:ind w:left="360" w:hanging="200"/>
      </w:pPr>
      <w:r>
        <w:rPr>
          <w:rFonts w:ascii="Arial" w:cs="Arial" w:eastAsia="Arial" w:hAnsi="Arial"/>
          <w:sz w:val="18"/>
          <w:szCs w:val="18"/>
        </w:rPr>
        <w:t xml:space="preserve">•  Last 2 months' bank statements for all accounts</w:t>
      </w:r>
    </w:p>
    <w:p>
      <w:pPr>
        <w:spacing w:after="0" w:before="60"/>
        <w:ind w:left="360" w:hanging="200"/>
      </w:pPr>
      <w:r>
        <w:rPr>
          <w:rFonts w:ascii="Arial" w:cs="Arial" w:eastAsia="Arial" w:hAnsi="Arial"/>
          <w:sz w:val="18"/>
          <w:szCs w:val="18"/>
        </w:rPr>
        <w:t xml:space="preserve">•  Last 2 years' federal tax returns (all pages)</w:t>
      </w:r>
    </w:p>
    <w:p>
      <w:pPr>
        <w:spacing w:after="0" w:before="60"/>
        <w:ind w:left="360" w:hanging="200"/>
      </w:pPr>
      <w:r>
        <w:rPr>
          <w:rFonts w:ascii="Arial" w:cs="Arial" w:eastAsia="Arial" w:hAnsi="Arial"/>
          <w:sz w:val="18"/>
          <w:szCs w:val="18"/>
        </w:rPr>
        <w:t xml:space="preserve">•  Last 2 months' pay stubs for all borrowers (or profit/loss statement if self-employed)</w:t>
      </w:r>
    </w:p>
    <w:p>
      <w:pPr>
        <w:spacing w:after="0" w:before="60"/>
        <w:ind w:left="360" w:hanging="200"/>
      </w:pPr>
      <w:r>
        <w:rPr>
          <w:rFonts w:ascii="Arial" w:cs="Arial" w:eastAsia="Arial" w:hAnsi="Arial"/>
          <w:sz w:val="18"/>
          <w:szCs w:val="18"/>
        </w:rPr>
        <w:t xml:space="preserve">•  Proof of any other income — rental income, Social Security, disability, alimony</w:t>
      </w:r>
    </w:p>
    <w:p>
      <w:pPr>
        <w:spacing w:after="0" w:before="60"/>
        <w:ind w:left="360" w:hanging="200"/>
      </w:pPr>
      <w:r>
        <w:rPr>
          <w:rFonts w:ascii="Arial" w:cs="Arial" w:eastAsia="Arial" w:hAnsi="Arial"/>
          <w:sz w:val="18"/>
          <w:szCs w:val="18"/>
        </w:rPr>
        <w:t xml:space="preserve">•  Most recent mortgage statement</w:t>
      </w:r>
    </w:p>
    <w:p>
      <w:pPr>
        <w:spacing w:after="0" w:before="60"/>
        <w:ind w:left="360" w:hanging="200"/>
      </w:pPr>
      <w:r>
        <w:rPr>
          <w:rFonts w:ascii="Arial" w:cs="Arial" w:eastAsia="Arial" w:hAnsi="Arial"/>
          <w:sz w:val="18"/>
          <w:szCs w:val="18"/>
        </w:rPr>
        <w:t xml:space="preserve">•  Homeowner's insurance declaration page</w:t>
      </w:r>
    </w:p>
    <w:p>
      <w:pPr>
        <w:spacing w:after="0" w:before="60"/>
        <w:ind w:left="360" w:hanging="200"/>
      </w:pPr>
      <w:r>
        <w:rPr>
          <w:rFonts w:ascii="Arial" w:cs="Arial" w:eastAsia="Arial" w:hAnsi="Arial"/>
          <w:sz w:val="18"/>
          <w:szCs w:val="18"/>
        </w:rPr>
        <w:t xml:space="preserve">•  Most recent property tax statement</w:t>
      </w:r>
    </w:p>
    <w:p>
      <w:pPr>
        <w:spacing w:after="0" w:before="60"/>
        <w:ind w:left="360" w:hanging="200"/>
      </w:pPr>
      <w:r>
        <w:rPr>
          <w:rFonts w:ascii="Arial" w:cs="Arial" w:eastAsia="Arial" w:hAnsi="Arial"/>
          <w:sz w:val="18"/>
          <w:szCs w:val="18"/>
        </w:rPr>
        <w:t xml:space="preserve">•  Completed Borrower Financial Package / RMA form</w:t>
      </w:r>
    </w:p>
    <w:p>
      <w:pPr>
        <w:spacing w:after="0" w:before="60"/>
      </w:pPr>
      <w:r>
        <w:t xml:space="preserve"/>
      </w:r>
    </w:p>
    <w:p>
      <w:pPr>
        <w:spacing w:after="0" w:before="80"/>
      </w:pPr>
      <w:r>
        <w:rPr>
          <w:rFonts w:ascii="Arial" w:cs="Arial" w:eastAsia="Arial" w:hAnsi="Arial"/>
          <w:b w:val="false"/>
          <w:bCs w:val="false"/>
          <w:color w:val="000000"/>
          <w:sz w:val="18"/>
          <w:szCs w:val="18"/>
        </w:rPr>
        <w:t xml:space="preserve">Step 4: Submit the complete package. Send by certified mail with return receipt AND electronically if the servicer allows it. Keep copies of everything.</w:t>
      </w:r>
    </w:p>
    <w:p>
      <w:pPr>
        <w:spacing w:after="0" w:before="60"/>
      </w:pPr>
      <w:r>
        <w:t xml:space="preserve"/>
      </w:r>
    </w:p>
    <w:p>
      <w:pPr>
        <w:spacing w:after="0" w:before="80"/>
      </w:pPr>
      <w:r>
        <w:rPr>
          <w:rFonts w:ascii="Arial" w:cs="Arial" w:eastAsia="Arial" w:hAnsi="Arial"/>
          <w:b w:val="false"/>
          <w:bCs w:val="false"/>
          <w:color w:val="000000"/>
          <w:sz w:val="18"/>
          <w:szCs w:val="18"/>
        </w:rPr>
        <w:t xml:space="preserve">Step 5: Follow up aggressively. Call the loss mitigation department every 5–7 business days to confirm receipt and check status. Document every call: date, time, representative name, and what was discussed.</w:t>
      </w:r>
    </w:p>
    <w:p>
      <w:pPr>
        <w:spacing w:after="0" w:before="60"/>
      </w:pPr>
      <w:r>
        <w:t xml:space="preserve"/>
      </w:r>
    </w:p>
    <w:p>
      <w:pPr>
        <w:spacing w:after="0" w:before="80"/>
      </w:pPr>
      <w:r>
        <w:rPr>
          <w:rFonts w:ascii="Arial" w:cs="Arial" w:eastAsia="Arial" w:hAnsi="Arial"/>
          <w:b w:val="false"/>
          <w:bCs w:val="false"/>
          <w:color w:val="000000"/>
          <w:sz w:val="18"/>
          <w:szCs w:val="18"/>
        </w:rPr>
        <w:t xml:space="preserve">Step 6: Respond immediately to any requests for additional documentation. Most applications are denied for incomplete information, not for financial reasons. Missing a document response deadline can reset your entire application.</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6 — WHEN A MODIFICATION ISN'T POSSIBLE: ALTERNATIVES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If a loan modification is not approved or is not the right solution, homeowners have other options. As a real estate investor, these represent acquisition opportunities where you can genuinely help a distressed homeowner:</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Short Sale</w:t>
            </w:r>
          </w:p>
          <w:p>
            <w:pPr>
              <w:spacing w:after="0" w:before="40"/>
            </w:pPr>
            <w:r>
              <w:rPr>
                <w:rFonts w:ascii="Arial" w:cs="Arial" w:eastAsia="Arial" w:hAnsi="Arial"/>
                <w:sz w:val="17"/>
                <w:szCs w:val="17"/>
              </w:rPr>
              <w:t xml:space="preserve">The homeowner sells the property for less than the outstanding mortgage balance, with lender approval. The lender accepts the sale proceeds as full or partial satisfaction of the debt. Properly structured, a short sale can eliminate or significantly reduce the deficiency and is far less damaging to credit than foreclosure. Timeline: typically 60–180+ days depending on the lender.</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Deed-in-Lieu of Foreclosure</w:t>
            </w:r>
          </w:p>
          <w:p>
            <w:pPr>
              <w:spacing w:after="0" w:before="40"/>
            </w:pPr>
            <w:r>
              <w:rPr>
                <w:rFonts w:ascii="Arial" w:cs="Arial" w:eastAsia="Arial" w:hAnsi="Arial"/>
                <w:sz w:val="17"/>
                <w:szCs w:val="17"/>
              </w:rPr>
              <w:t xml:space="preserve">The homeowner voluntarily transfers title to the lender in exchange for forgiveness of the mortgage debt. Faster than foreclosure and less damaging to credit, but requires lender approval and typically requires the homeowner to vacate within a specific timeframe. Some programs provide relocation assistance (Transition Assistance Program).</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Cash Sale to Investor</w:t>
            </w:r>
          </w:p>
          <w:p>
            <w:pPr>
              <w:spacing w:after="0" w:before="40"/>
            </w:pPr>
            <w:r>
              <w:rPr>
                <w:rFonts w:ascii="Arial" w:cs="Arial" w:eastAsia="Arial" w:hAnsi="Arial"/>
                <w:sz w:val="17"/>
                <w:szCs w:val="17"/>
              </w:rPr>
              <w:t xml:space="preserve">The homeowner sells the property as-is to a real estate investor at a discounted price. Provides the fastest exit with the most control for the homeowner, avoids foreclosure entirely, and allows the homeowner to walk away with any equity above the mortgage payoff. As an investor, you close on the property and handle all renovations.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Forbearance Agreement</w:t>
            </w:r>
          </w:p>
          <w:p>
            <w:pPr>
              <w:spacing w:after="0" w:before="40"/>
            </w:pPr>
            <w:r>
              <w:rPr>
                <w:rFonts w:ascii="Arial" w:cs="Arial" w:eastAsia="Arial" w:hAnsi="Arial"/>
                <w:sz w:val="17"/>
                <w:szCs w:val="17"/>
              </w:rPr>
              <w:t xml:space="preserve">A temporary pause or reduction of mortgage payments while the homeowner recovers from a short-term hardship (job loss, medical event). Not a permanent solution — missed payments must be repaid. Best used as a bridge to a permanent modification or sale.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C89B3C" w:sz="6"/>
              <w:bottom w:val="none" w:color="FFFFFF" w:sz="0"/>
              <w:right w:val="none" w:color="FFFFFF" w:sz="0"/>
            </w:tcBorders>
            <w:shd w:fill="F7F7F7" w:val="clear"/>
            <w:tcMar>
              <w:top w:type="dxa" w:w="80"/>
              <w:left w:type="dxa" w:w="120"/>
              <w:bottom w:type="dxa" w:w="80"/>
              <w:right w:type="dxa" w:w="80"/>
            </w:tcMar>
          </w:tcPr>
          <w:p>
            <w:r>
              <w:rPr>
                <w:rFonts w:ascii="Arial" w:cs="Arial" w:eastAsia="Arial" w:hAnsi="Arial"/>
                <w:b/>
                <w:bCs/>
                <w:color w:val="0D1B2A"/>
                <w:sz w:val="18"/>
                <w:szCs w:val="18"/>
              </w:rPr>
              <w:t xml:space="preserve">Bankruptcy</w:t>
            </w:r>
          </w:p>
          <w:p>
            <w:pPr>
              <w:spacing w:after="0" w:before="40"/>
            </w:pPr>
            <w:r>
              <w:rPr>
                <w:rFonts w:ascii="Arial" w:cs="Arial" w:eastAsia="Arial" w:hAnsi="Arial"/>
                <w:sz w:val="17"/>
                <w:szCs w:val="17"/>
              </w:rPr>
              <w:t xml:space="preserve">Chapter 13 bankruptcy can allow homeowners to catch up on missed mortgage payments over a 3–5 year repayment plan while keeping the home. Chapter 7 can discharge unsecured debt, freeing up cash for mortgage payments. A bankruptcy attorney must evaluate whether either option is appropriate. Not a first resort, but sometimes the most powerful tool available.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7 — MASS JOINDER LAWSUITS — WHAT HOMEOWNERS SHOULD KNOW</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Some firms market "mass joinder" lawsuits as a way for homeowners to challenge their lenders' practices and obtain principal reduction. Homeowners should approach these with significant caution:</w:t>
      </w:r>
    </w:p>
    <w:p>
      <w:pPr>
        <w:spacing w:after="0" w:before="40"/>
      </w:pPr>
      <w:r>
        <w:t xml:space="preserve"/>
      </w:r>
    </w:p>
    <w:p>
      <w:pPr>
        <w:spacing w:after="0" w:before="60"/>
        <w:ind w:left="360" w:hanging="200"/>
      </w:pPr>
      <w:r>
        <w:rPr>
          <w:rFonts w:ascii="Arial" w:cs="Arial" w:eastAsia="Arial" w:hAnsi="Arial"/>
          <w:sz w:val="18"/>
          <w:szCs w:val="18"/>
        </w:rPr>
        <w:t xml:space="preserve">•  Mass joinder lawsuits typically charge substantial upfront fees (often $5,000–$20,000+) with no guarantee of outcome.</w:t>
      </w:r>
    </w:p>
    <w:p>
      <w:pPr>
        <w:spacing w:after="0" w:before="60"/>
        <w:ind w:left="360" w:hanging="200"/>
      </w:pPr>
      <w:r>
        <w:rPr>
          <w:rFonts w:ascii="Arial" w:cs="Arial" w:eastAsia="Arial" w:hAnsi="Arial"/>
          <w:sz w:val="18"/>
          <w:szCs w:val="18"/>
        </w:rPr>
        <w:t xml:space="preserve">•  Many mass joinder firms have been the subject of state attorney general investigations and consumer fraud actions.</w:t>
      </w:r>
    </w:p>
    <w:p>
      <w:pPr>
        <w:spacing w:after="0" w:before="60"/>
        <w:ind w:left="360" w:hanging="200"/>
      </w:pPr>
      <w:r>
        <w:rPr>
          <w:rFonts w:ascii="Arial" w:cs="Arial" w:eastAsia="Arial" w:hAnsi="Arial"/>
          <w:sz w:val="18"/>
          <w:szCs w:val="18"/>
        </w:rPr>
        <w:t xml:space="preserve">•  Participation in a lawsuit does NOT automatically stop foreclosure or pause servicer action.</w:t>
      </w:r>
    </w:p>
    <w:p>
      <w:pPr>
        <w:spacing w:after="0" w:before="60"/>
        <w:ind w:left="360" w:hanging="200"/>
      </w:pPr>
      <w:r>
        <w:rPr>
          <w:rFonts w:ascii="Arial" w:cs="Arial" w:eastAsia="Arial" w:hAnsi="Arial"/>
          <w:sz w:val="18"/>
          <w:szCs w:val="18"/>
        </w:rPr>
        <w:t xml:space="preserve">•  Some legitimate class action cases exist, but homeowners should consult a qualified real estate attorney before paying any fees or joining any legal action.</w:t>
      </w:r>
    </w:p>
    <w:p>
      <w:pPr>
        <w:spacing w:after="0" w:before="60"/>
      </w:pPr>
      <w:r>
        <w:t xml:space="preserve"/>
      </w:r>
    </w:p>
    <w:p>
      <w:pPr>
        <w:spacing w:after="0" w:before="80"/>
      </w:pPr>
      <w:r>
        <w:rPr>
          <w:rFonts w:ascii="Arial" w:cs="Arial" w:eastAsia="Arial" w:hAnsi="Arial"/>
          <w:b w:val="false"/>
          <w:bCs w:val="false"/>
          <w:color w:val="000000"/>
          <w:sz w:val="18"/>
          <w:szCs w:val="18"/>
        </w:rPr>
        <w:t xml:space="preserve">Advise any homeowner considering a mass joinder lawsuit to consult a HUD-approved housing counselor and an independent real estate attorney first — not the firm selling the lawsuit.</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8 — KEY RESOURCES &amp; CONTACTS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Resource</w:t>
            </w:r>
          </w:p>
        </w:tc>
        <w:tc>
          <w:tcPr>
            <w:tcW w:type="dxa" w:w="65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7"/>
                <w:szCs w:val="17"/>
              </w:rPr>
              <w:t xml:space="preserve">Contact / How to Access</w:t>
            </w:r>
          </w:p>
        </w:tc>
      </w:tr>
      <w:tr>
        <w:tc>
          <w:tcPr>
            <w:tcW w:type="dxa" w:w="35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b/>
                <w:bCs/>
                <w:sz w:val="16"/>
                <w:szCs w:val="16"/>
              </w:rPr>
              <w:t xml:space="preserve">HUD-Approved Housing Counselors (FREE)</w:t>
            </w:r>
          </w:p>
        </w:tc>
        <w:tc>
          <w:tcPr>
            <w:tcW w:type="dxa" w:w="6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80"/>
            </w:tcMar>
          </w:tcPr>
          <w:p>
            <w:r>
              <w:rPr>
                <w:rFonts w:ascii="Arial" w:cs="Arial" w:eastAsia="Arial" w:hAnsi="Arial"/>
                <w:sz w:val="16"/>
                <w:szCs w:val="16"/>
              </w:rPr>
              <w:t xml:space="preserve">1-800-569-4287 or www.hud.gov/findacounselor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b/>
                <w:bCs/>
                <w:sz w:val="16"/>
                <w:szCs w:val="16"/>
              </w:rPr>
              <w:t xml:space="preserve">Making Home Affordable Program (MHA)</w:t>
            </w:r>
          </w:p>
        </w:tc>
        <w:tc>
          <w:tcPr>
            <w:tcW w:type="dxa" w:w="6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6"/>
                <w:szCs w:val="16"/>
              </w:rPr>
              <w:t xml:space="preserve">www.makinghomeaffordable.gov — official federal program info</w:t>
            </w:r>
          </w:p>
        </w:tc>
      </w:tr>
      <w:tr>
        <w:tc>
          <w:tcPr>
            <w:tcW w:type="dxa" w:w="35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b/>
                <w:bCs/>
                <w:sz w:val="16"/>
                <w:szCs w:val="16"/>
              </w:rPr>
              <w:t xml:space="preserve">Consumer Financial Protection Bureau (CFPB)</w:t>
            </w:r>
          </w:p>
        </w:tc>
        <w:tc>
          <w:tcPr>
            <w:tcW w:type="dxa" w:w="6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80"/>
            </w:tcMar>
          </w:tcPr>
          <w:p>
            <w:r>
              <w:rPr>
                <w:rFonts w:ascii="Arial" w:cs="Arial" w:eastAsia="Arial" w:hAnsi="Arial"/>
                <w:sz w:val="16"/>
                <w:szCs w:val="16"/>
              </w:rPr>
              <w:t xml:space="preserve">www.consumerfinance.gov or 1-855-411-2372 — complaint filing &amp; mortgage help</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b/>
                <w:bCs/>
                <w:sz w:val="16"/>
                <w:szCs w:val="16"/>
              </w:rPr>
              <w:t xml:space="preserve">National Foundation for Credit Counseling</w:t>
            </w:r>
          </w:p>
        </w:tc>
        <w:tc>
          <w:tcPr>
            <w:tcW w:type="dxa" w:w="6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6"/>
                <w:szCs w:val="16"/>
              </w:rPr>
              <w:t xml:space="preserve">www.nfcc.org or 1-800-388-2227</w:t>
            </w:r>
          </w:p>
        </w:tc>
      </w:tr>
      <w:tr>
        <w:tc>
          <w:tcPr>
            <w:tcW w:type="dxa" w:w="35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b/>
                <w:bCs/>
                <w:sz w:val="16"/>
                <w:szCs w:val="16"/>
              </w:rPr>
              <w:t xml:space="preserve">State Attorney General — Scam Reporting</w:t>
            </w:r>
          </w:p>
        </w:tc>
        <w:tc>
          <w:tcPr>
            <w:tcW w:type="dxa" w:w="6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80"/>
            </w:tcMar>
          </w:tcPr>
          <w:p>
            <w:r>
              <w:rPr>
                <w:rFonts w:ascii="Arial" w:cs="Arial" w:eastAsia="Arial" w:hAnsi="Arial"/>
                <w:sz w:val="16"/>
                <w:szCs w:val="16"/>
              </w:rPr>
              <w:t xml:space="preserve">Search '[YOUR STATE] attorney general mortgage scam' for your state's contact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b/>
                <w:bCs/>
                <w:sz w:val="16"/>
                <w:szCs w:val="16"/>
              </w:rPr>
              <w:t xml:space="preserve">Fannie Mae Mortgage Help Network</w:t>
            </w:r>
          </w:p>
        </w:tc>
        <w:tc>
          <w:tcPr>
            <w:tcW w:type="dxa" w:w="6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sz w:val="16"/>
                <w:szCs w:val="16"/>
              </w:rPr>
              <w:t xml:space="preserve">1-800-232-6643 — for Fannie-backed loans</w:t>
            </w:r>
          </w:p>
        </w:tc>
      </w:tr>
      <w:tr>
        <w:tc>
          <w:tcPr>
            <w:tcW w:type="dxa" w:w="35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b/>
                <w:bCs/>
                <w:sz w:val="16"/>
                <w:szCs w:val="16"/>
              </w:rPr>
              <w:t xml:space="preserve">Freddie Mac Borrower Help Centers</w:t>
            </w:r>
          </w:p>
        </w:tc>
        <w:tc>
          <w:tcPr>
            <w:tcW w:type="dxa" w:w="658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80"/>
            </w:tcMar>
          </w:tcPr>
          <w:p>
            <w:r>
              <w:rPr>
                <w:rFonts w:ascii="Arial" w:cs="Arial" w:eastAsia="Arial" w:hAnsi="Arial"/>
                <w:sz w:val="16"/>
                <w:szCs w:val="16"/>
              </w:rPr>
              <w:t xml:space="preserve">1-800-373-3343 — for Freddie-backed loans</w:t>
            </w:r>
          </w:p>
        </w:tc>
      </w:tr>
    </w:tbl>
    <w:p>
      <w:pPr>
        <w:spacing w:after="0" w:before="80"/>
      </w:pPr>
      <w:r>
        <w:t xml:space="preserve"/>
      </w:r>
    </w:p>
    <w:p>
      <w:pPr>
        <w:spacing w:after="0" w:before="80"/>
      </w:pPr>
      <w:r>
        <w:rPr>
          <w:rFonts w:ascii="Arial" w:cs="Arial" w:eastAsia="Arial" w:hAnsi="Arial"/>
          <w:b w:val="false"/>
          <w:bCs w:val="false"/>
          <w:color w:val="000000"/>
          <w:sz w:val="18"/>
          <w:szCs w:val="18"/>
        </w:rPr>
        <w:t xml:space="preserve">Note: Program availability, eligibility requirements, and contact information change over time. Always verify current details directly with the relevant agency or your servicer.</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2026-06-15T20:24:04.911Z</dcterms:created>
  <dcterms:modified xsi:type="dcterms:W3CDTF">2026-06-15T20:24:04.911Z</dcterms:modified>
</cp:coreProperties>
</file>

<file path=docProps/custom.xml><?xml version="1.0" encoding="utf-8"?>
<Properties xmlns="http://schemas.openxmlformats.org/officeDocument/2006/custom-properties" xmlns:vt="http://schemas.openxmlformats.org/officeDocument/2006/docPropsVTypes"/>
</file>