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single" w:color="C89B3C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FORGE</w:t>
            </w:r>
          </w:p>
          <w:p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FORGEDBYARIS.COM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8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Multifamily Due Diligence Checklist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Property, Neighborhood &amp; Document Verification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NEIGHBORHOOD DUE DILIGENCE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72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School System Ratings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Research the local school district ratings. School quality is a primary driver of rental demand, tenant quality, and long-term property value in residential multifamily assets.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Public Transportation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Evaluate proximity to public transportation. Bus lines, light rail, and commuter access directly impact tenant demand and vacancy rates in working-class and workforce housing markets.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Parking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 on-site parking availability and any restrictions. Parking is a frequent tenant complaint and a significant factor in rental marketability depending on the market.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Crime Statistics &amp; Police Stations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Pull crime statistics from local law enforcement data or NeighborhoodScout. Evaluate proximity to police stations. High-crime areas affect insurance cost, tenant quality, and long-term asset value.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Fire Stations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Note proximity to the nearest fire station. This directly impacts insurance rates, particularly for older multifamily buildings.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Commercial, Industrial &amp; Agricultural Activity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Identify any nearby commercial, industrial, or agricultural operations that could impact tenant experience — noise, odor, traffic, or environmental risk.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Other Governmental Services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Evaluate access to libraries, parks, government offices, and other public services that affect quality of life and tenant retention.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Construction &amp; Development Activity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Research any nearby development projects — new housing supply, road construction, or commercial development. New supply can impact vacancy rates; development can signal appreciation or disruption.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DUE DILIGENCE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72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Deadlines Tracked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Enter all inspection and contingency deadlines into your tracking system immediately upon contract execution. Missing a deadline can result in loss of deposit or deal failure.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Home Inspection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Commission a licensed home inspector to evaluate all systems and structure. Use the inspection report to negotiate credits, request repairs, or adjust your offer if within contingency period.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Inspection Checklist Walkthrough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 your FORGE Inspection Checklist for a second walkthrough after the professional inspection. Identify anything the inspector may have missed and document all items for your scope of work.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Asbestos Inspection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Required for properties built before 1980. Asbestos in popcorn ceilings, pipe insulation, floor tiles, and siding must be tested and potentially abated before renovation.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Lead Paint Inspection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Required for properties built before 1978. Lead paint disclosure is federally mandated. Budget for lead paint abatement in your repair estimate if applicable.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Mold Inspection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Commission a mold inspection if there is any visible moisture damage, musty odor, or prior water intrusion. Mold remediation can be significant and must be factored into your underwriting.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Buried Oil Tank Inspection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Common in older properties in the Northeast. A buried oil tank that has leaked is a major environmental liability. Order a tank sweep scan before closing.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Fire Damage Inspection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If any prior fire damage is suspected or disclosed, commission a structural and fire damage assessment. Incomplete prior repairs are a common hidden defect in older multifamily buildings.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Sewer Scope Inspection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Commission a sewer scope to inspect the main sewer line from the building to the city connection. Collapsed or root-invaded lines can cost $5,000–$25,000+ to replace.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Septic Tank Inspection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If the property uses a septic system, commission a full septic inspection including pump-out and capacity evaluation. Required by most lenders on rural properties.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Well Inspection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If the property is on a private well, test water quality and evaluate pump system condition. Lenders typically require a potability test at minimum.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Foundational &amp; Structural Inspection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Commission a structural engineer for any property showing signs of foundation movement, settling, or structural compromise. Do not rely solely on a general home inspector for structural assessments.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Geologic Condition Inspection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Evaluate soil and geologic conditions, particularly in areas prone to expansive soils, landslides, or subsidence. Relevant in certain markets and required for some lenders.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Soil Inspection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Assess soil conditions that could affect foundation integrity or future development. Particularly relevant if you plan to add ADUs or build additional structures on site.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Roof Inspection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Commission a licensed roofing contractor to evaluate roof condition, remaining life, and any active leaks. Roof replacement is one of the largest capital expenditures in multifamily.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Pool Inspection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If the property has a pool, commission a pool specialist to evaluate equipment, structure, electrical, and compliance with local safety codes.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Historical Home Inspection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If the property is in a historic district or is a designated historic property, evaluate any restrictions on renovation scope, materials, and exterior modifications before committing to your rehab budget.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Permit Check Inspection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Pull the property's permit history with the local building department. Identify any open permits, unpermitted work, or code violations that must be resolved before or after closing.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Noise &amp; Odor Assessment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Evaluate the property at multiple times of day for noise from traffic, neighbors, commercial operations, or industrial activity. Note any odor issues that could affect tenant experience or habitability.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Utility Services — Water, Sewer, Trash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 all utilities are active and metered appropriately. Verify whether utilities are master-metered or individually metered per unit. Sub-metering analysis is critical for accurate expense underwriting.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Property Tax Review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Pull current tax bill and verify assessed value. Research whether a change of ownership will trigger a reassessment. Factor the updated tax load into your operating expense model.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DUE DILIGENCE AFTER CONTRACT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72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Purchase &amp; Sale Agreement &amp; Addendums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 all contract documents are fully executed with proper signatures, dates, and notarization where required. Verify all addendums are attached and referenced in the base contract.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Property Disclosures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Review all seller-provided property disclosures. Cross-reference disclosure items against inspection findings. Any material discrepancy between what was disclosed and what was found must be addressed during the contingency period.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Existing Leases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Review all current tenant leases — terms, rent amounts, security deposits, renewal options, and any side agreements. Confirm rents collected match rents stated in the leases.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Rent Roll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Obtain a current rent roll from the seller. Verify each unit's rent, occupancy status, and any delinquencies. Cross-reference against lease terms and bank statements.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Operating Statements (12–24 Months)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Request two years of operating statements — income and expenses. Normalize the expenses to identify any one-time items the seller may have excluded. Verify against bank statements and utility bills.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Title Report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Review the preliminary title report for all liens, encumbrances, easements, and exceptions. Confirm all liens will be cleared at close. Flag any items that require further legal review.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Survey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Review or commission a new property survey. Confirm lot lines, easements, encroachments, and any discrepancies with what was represented by the seller.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top w:val="single" w:color="C89B3C" w:sz="4" w:space="4"/>
        </w:pBdr>
        <w:spacing w:before="200"/>
        <w:jc w:val="center"/>
      </w:pPr>
      <w:r>
        <w:rPr>
          <w:rFonts w:ascii="Arial" w:cs="Arial" w:eastAsia="Arial" w:hAnsi="Arial"/>
          <w:b/>
          <w:bCs/>
          <w:color w:val="0D1B2A"/>
          <w:sz w:val="16"/>
          <w:szCs w:val="16"/>
        </w:rPr>
        <w:t xml:space="preserve">FORGE  |  Powered by ARIS  |  ForgedByAris.com</w:t>
      </w:r>
    </w:p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2026-06-14T21:44:58.050Z</dcterms:created>
  <dcterms:modified xsi:type="dcterms:W3CDTF">2026-06-14T21:44:58.050Z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