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Private Money Closing Process Guide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Step-by-step process for closing a private money deal — from initial agreement to post-closing file setup.</w:t>
      </w:r>
    </w:p>
    <w:p>
      <w:r>
        <w:t xml:space="preserve"/>
      </w:r>
    </w:p>
    <w:p>
      <w:pPr>
        <w:pBdr>
          <w:bottom w:val="single" w:color="C89B3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KEY TERMINOLOGY</w:t>
      </w:r>
    </w:p>
    <w:p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720"/>
      </w:tblGrid>
      <w:tr>
        <w:tc>
          <w:tcPr>
            <w:tcW w:type="dxa" w:w="3360"/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720"/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360"/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Borrower</w:t>
            </w:r>
          </w:p>
        </w:tc>
        <w:tc>
          <w:tcPr>
            <w:tcW w:type="dxa" w:w="67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— the real estate investor</w:t>
            </w:r>
          </w:p>
        </w:tc>
      </w:tr>
      <w:tr>
        <w:tc>
          <w:tcPr>
            <w:tcW w:type="dxa" w:w="3360"/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Private Money Lender</w:t>
            </w:r>
          </w:p>
        </w:tc>
        <w:tc>
          <w:tcPr>
            <w:tcW w:type="dxa" w:w="67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capital source (the "Lender")</w:t>
            </w:r>
          </w:p>
        </w:tc>
      </w:tr>
      <w:tr>
        <w:tc>
          <w:tcPr>
            <w:tcW w:type="dxa" w:w="3360"/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Closing Team</w:t>
            </w:r>
          </w:p>
        </w:tc>
        <w:tc>
          <w:tcPr>
            <w:tcW w:type="dxa" w:w="67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Attorney or Title Company</w:t>
            </w:r>
          </w:p>
        </w:tc>
      </w:tr>
      <w:tr>
        <w:tc>
          <w:tcPr>
            <w:tcW w:type="dxa" w:w="3360"/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Mortgage Deed / Deed of Trust</w:t>
            </w:r>
          </w:p>
        </w:tc>
        <w:tc>
          <w:tcPr>
            <w:tcW w:type="dxa" w:w="67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 document securing the property as collateral</w:t>
            </w:r>
          </w:p>
        </w:tc>
      </w:tr>
      <w:tr>
        <w:tc>
          <w:tcPr>
            <w:tcW w:type="dxa" w:w="3360"/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Promissory Note</w:t>
            </w:r>
          </w:p>
        </w:tc>
        <w:tc>
          <w:tcPr>
            <w:tcW w:type="dxa" w:w="67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legal promise to repay the loan</w:t>
            </w:r>
          </w:p>
        </w:tc>
      </w:tr>
      <w:tr>
        <w:tc>
          <w:tcPr>
            <w:tcW w:type="dxa" w:w="3360"/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Personal Guarantee</w:t>
            </w:r>
          </w:p>
        </w:tc>
        <w:tc>
          <w:tcPr>
            <w:tcW w:type="dxa" w:w="67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Additional security — your personal assets back the loan</w:t>
            </w:r>
          </w:p>
        </w:tc>
      </w:tr>
      <w:tr>
        <w:tc>
          <w:tcPr>
            <w:tcW w:type="dxa" w:w="3360"/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Insurance Endorsement</w:t>
            </w:r>
          </w:p>
        </w:tc>
        <w:tc>
          <w:tcPr>
            <w:tcW w:type="dxa" w:w="67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Lender's right to insurance proceeds in the event of a claim</w:t>
            </w:r>
          </w:p>
        </w:tc>
      </w:tr>
    </w:tbl>
    <w:p>
      <w:r>
        <w:t xml:space="preserve"/>
      </w:r>
    </w:p>
    <w:p>
      <w:pPr>
        <w:pBdr>
          <w:bottom w:val="single" w:color="C89B3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PHASE 1 — PRE-CLOSING (14 DAYS OUT)</w:t>
      </w:r>
    </w:p>
    <w:p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Step 1: Engage Your Closing Team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Send deal details to your attorney or title company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Provide: Property address, buyer/entity name, private lender name &amp; address, lender attorney info (if separately represented), agreed loan terms</w:t>
      </w:r>
    </w:p>
    <w:p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Step 2: Set the Closing Date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Confirm closing date with all parties: Attorney/Title Company, Seller, Private Money Lender</w:t>
      </w:r>
    </w:p>
    <w:p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Step 3: Set Up Property Insurance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Call your insurance broker to bind coverage on the property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the Private Money Lender as Loss Payee on the policy</w:t>
      </w:r>
    </w:p>
    <w:p>
      <w:r>
        <w:t xml:space="preserve"/>
      </w:r>
    </w:p>
    <w:p>
      <w:pPr>
        <w:pBdr>
          <w:bottom w:val="single" w:color="C89B3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PHASE 2 — PRE-CLOSING (3–7 DAYS OUT)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Confirm closing date with all parties — verify nothing has changed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Contact Private Money Lender to initiate wire/funding into escrow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Send draft mortgage documents to Private Money Lender (or their attorney if separately represented) for review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Follow up with insurance broker — confirm policy is active and loss payee endorsement is in place</w:t>
      </w:r>
    </w:p>
    <w:p>
      <w:r>
        <w:t xml:space="preserve"/>
      </w:r>
    </w:p>
    <w:p>
      <w:pPr>
        <w:pBdr>
          <w:bottom w:val="single" w:color="C89B3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PHASE 3 — CLOSING DAY</w:t>
      </w:r>
    </w:p>
    <w:p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Before You Arrive: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Call insurance broker — confirm they will fax/email the Insurance Certificate to the closing attorney/title company that morning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Confirm with attorney that funds are in place from Private Money Lender</w:t>
      </w:r>
    </w:p>
    <w:p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At the Closing Table — Documents to Sign: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Mortgage Deed or Deed of Trust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Promissory Note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Personal Guarantee (if required by lender)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Make a copy of the Insurance Endorsement</w:t>
      </w:r>
    </w:p>
    <w:p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After Signing: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Provide executed copies of all security documents to Private Money Lender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Confirm attorney will file Mortgage Deed / Deed of Trust on public land records (typically same day or next business day)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Review any other closing considerations with your attorney</w:t>
      </w:r>
    </w:p>
    <w:p>
      <w:r>
        <w:t xml:space="preserve"/>
      </w:r>
    </w:p>
    <w:p>
      <w:pPr>
        <w:pBdr>
          <w:bottom w:val="single" w:color="C89B3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PHASE 4 — POST-CLOSING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a physical or digital file for this Private Money Lender — include Lender Information Sheet and all executed security documents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Set a reminder (or notify your bookkeeper) for any monthly interest payments due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Send a thank-you note to your Private Money Lender within 48 hours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Update your deal tracking system with loan terms, payment schedule, and maturity date</w:t>
      </w:r>
    </w:p>
    <w:p>
      <w:r>
        <w:t xml:space="preserve"/>
      </w:r>
    </w:p>
    <w:p>
      <w:pPr>
        <w:pBdr>
          <w:bottom w:val="single" w:color="C89B3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POST-CLOSING INVESTOR COMMUNICATION BEST PRACTICES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Send a brief update when renovations begin, at midpoint, and at completion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Notify lender immediately if timeline extends beyond original projection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Provide a payoff notice 2 weeks before loan maturity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After payoff — ask for a referral while the experience is fresh</w:t>
      </w:r>
    </w:p>
    <w:p>
      <w:r>
        <w:t xml:space="preserve"/>
      </w:r>
    </w:p>
    <w:p>
      <w:pPr>
        <w:pBdr>
          <w:top w:val="single" w:color="CCCCCC" w:sz="2" w:space="4"/>
        </w:pBdr>
        <w:spacing w:after="80" w:before="40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DISCLAIMER: This document is provided for educational purposes only and does not constitute legal, financial, or investment advice. [YOUR COMPANY] and The Dessauer Group make no representations or warranties. Consult qualified legal and financial professionals before acting on any information herein.</w:t>
      </w:r>
    </w:p>
    <w:sectPr>
      <w:headerReference w:type="default" r:id="rId7"/>
      <w:footerReference w:type="default" r:id="rId8"/>
      <w:pgSz w:w="12240" w:h="15840" w:orient="portrait"/>
      <w:pgMar w:top="72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9B3C" w:sz="4" w:space="4"/>
      </w:pBdr>
      <w:tabs>
        <w:tab w:val="right" w:pos="10080"/>
      </w:tabs>
    </w:pPr>
    <w:r>
      <w:rPr>
        <w:rFonts w:ascii="Arial" w:cs="Arial" w:eastAsia="Arial" w:hAnsi="Arial"/>
        <w:color w:val="0D1B2A"/>
        <w:sz w:val="16"/>
        <w:szCs w:val="16"/>
      </w:rPr>
      <w:t xml:space="preserve">FORGE | Powered by ARIS | ForgedByAris.com</w:t>
    </w:r>
    <w:r>
      <w:rPr>
        <w:rFonts w:ascii="Arial" w:cs="Arial" w:eastAsia="Arial" w:hAnsi="Arial"/>
        <w:color w:val="0D1B2A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none"/>
        <w:left w:val="none"/>
        <w:bottom w:val="single" w:color="C89B3C" w:sz="6"/>
        <w:right w:val="none"/>
        <w:insideH w:val="single" w:color="auto" w:sz="4"/>
        <w:insideV w:val="single" w:color="auto" w:sz="4"/>
      </w:tblBorders>
    </w:tblPr>
    <w:tblGrid>
      <w:gridCol w:w="7560"/>
      <w:gridCol w:w="2520"/>
    </w:tblGrid>
    <w:tr>
      <w:tc>
        <w:tcPr>
          <w:tcW w:type="dxa" w:w="7560"/>
          <w:shd w:fill="0D1B2A" w:val="clear"/>
          <w:tcMar>
            <w:top w:type="dxa" w:w="80"/>
            <w:left w:type="dxa" w:w="120"/>
            <w:bottom w:type="dxa" w:w="80"/>
            <w:right w:type="dxa" w:w="12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8"/>
              <w:szCs w:val="28"/>
            </w:rPr>
            <w:t xml:space="preserve">FORGE</w:t>
          </w:r>
        </w:p>
        <w:p>
          <w:r>
            <w:rPr>
              <w:rFonts w:ascii="Arial" w:cs="Arial" w:eastAsia="Arial" w:hAnsi="Arial"/>
              <w:color w:val="C89B3C"/>
              <w:sz w:val="20"/>
              <w:szCs w:val="20"/>
            </w:rPr>
            <w:t xml:space="preserve">Private Money Closing Process Guide</w:t>
          </w:r>
        </w:p>
      </w:tc>
      <w:tc>
        <w:tcPr>
          <w:tcW w:type="dxa" w:w="2520"/>
          <w:shd w:fill="0D1B2A" w:val="clear"/>
          <w:tcMar>
            <w:top w:type="dxa" w:w="80"/>
            <w:left w:type="dxa" w:w="120"/>
            <w:bottom w:type="dxa" w:w="80"/>
            <w:right w:type="dxa" w:w="12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i/>
              <w:iCs/>
              <w:color w:val="C89B3C"/>
              <w:sz w:val="16"/>
              <w:szCs w:val="16"/>
            </w:rPr>
            <w:t xml:space="preserve">Powered by ARIS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2026-06-15T21:51:04.215Z</dcterms:created>
  <dcterms:modified xsi:type="dcterms:W3CDTF">2026-06-15T21:51:04.215Z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