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rPr>
          <w:rFonts w:ascii="Arial" w:cs="Arial" w:eastAsia="Arial" w:hAnsi="Arial"/>
          <w:b/>
          <w:bCs/>
          <w:color w:val="0D1B2A"/>
          <w:sz w:val="36"/>
          <w:szCs w:val="36"/>
        </w:rPr>
        <w:t xml:space="preserve">FORGE Private Money Compliance FAQ</w:t>
      </w:r>
    </w:p>
    <w:p>
      <w:pPr>
        <w:spacing w:after="80" w:before="80"/>
      </w:pPr>
      <w:r>
        <w:rPr>
          <w:rFonts w:ascii="Arial" w:cs="Arial" w:eastAsia="Arial" w:hAnsi="Arial"/>
          <w:sz w:val="22"/>
          <w:szCs w:val="22"/>
        </w:rPr>
        <w:t xml:space="preserve">Frequently asked questions on SEC compliance, structuring, and legal considerations for private money lending transactions.</w:t>
      </w:r>
    </w:p>
    <w:p>
      <w:r>
        <w:t xml:space="preserve"/>
      </w:r>
    </w:p>
    <w:p>
      <w:pPr>
        <w:pBdr>
          <w:bottom w:val="single" w:color="C89B3C" w:sz="4" w:space="4"/>
        </w:pBdr>
        <w:spacing w:after="160" w:before="320"/>
      </w:pPr>
      <w:r>
        <w:rPr>
          <w:rFonts w:ascii="Arial" w:cs="Arial" w:eastAsia="Arial" w:hAnsi="Arial"/>
          <w:b/>
          <w:bCs/>
          <w:color w:val="0D1B2A"/>
          <w:sz w:val="28"/>
          <w:szCs w:val="28"/>
        </w:rPr>
        <w:t xml:space="preserve">CHAPTER 1 — DEAL STRUCTURE &amp; FINANCING</w:t>
      </w:r>
    </w:p>
    <w:p>
      <w:r>
        <w:t xml:space="preserve"/>
      </w:r>
    </w:p>
    <w:p>
      <w:pPr>
        <w:spacing w:after="100" w:before="240"/>
      </w:pPr>
      <w:r>
        <w:rPr>
          <w:rFonts w:ascii="Arial" w:cs="Arial" w:eastAsia="Arial" w:hAnsi="Arial"/>
          <w:b/>
          <w:bCs/>
          <w:color w:val="0D1B2A"/>
          <w:sz w:val="24"/>
          <w:szCs w:val="24"/>
        </w:rPr>
        <w:t xml:space="preserve">Q: How do I structure a 100% financed deal with no money in?</w:t>
      </w:r>
    </w:p>
    <w:p>
      <w:pPr>
        <w:spacing w:after="80" w:before="80"/>
      </w:pPr>
      <w:r>
        <w:rPr>
          <w:rFonts w:ascii="Arial" w:cs="Arial" w:eastAsia="Arial" w:hAnsi="Arial"/>
          <w:sz w:val="22"/>
          <w:szCs w:val="22"/>
        </w:rPr>
        <w:t xml:space="preserve">Find a strong deal first. Then layer: 70% hard money + 30% private money. Critical — you must disclose the second lien to the hard money lender upfront and confirm they accept it. Most do. Non-disclosure is where investors get into trouble, not the structure itself.</w:t>
      </w:r>
    </w:p>
    <w:p>
      <w:r>
        <w:t xml:space="preserve"/>
      </w:r>
    </w:p>
    <w:p>
      <w:pPr>
        <w:spacing w:after="100" w:before="240"/>
      </w:pPr>
      <w:r>
        <w:rPr>
          <w:rFonts w:ascii="Arial" w:cs="Arial" w:eastAsia="Arial" w:hAnsi="Arial"/>
          <w:b/>
          <w:bCs/>
          <w:color w:val="0D1B2A"/>
          <w:sz w:val="24"/>
          <w:szCs w:val="24"/>
        </w:rPr>
        <w:t xml:space="preserve">Q: Can I include a guaranteed or automatic renewal on a promissory note?</w:t>
      </w:r>
    </w:p>
    <w:p>
      <w:pPr>
        <w:spacing w:after="80" w:before="80"/>
      </w:pPr>
      <w:r>
        <w:rPr>
          <w:rFonts w:ascii="Arial" w:cs="Arial" w:eastAsia="Arial" w:hAnsi="Arial"/>
          <w:sz w:val="22"/>
          <w:szCs w:val="22"/>
        </w:rPr>
        <w:t xml:space="preserve">Avoid automatic extensions. If you need to go beyond the original note term, reissue a new note. Automatic renewals create compliance and documentation risk.</w:t>
      </w:r>
    </w:p>
    <w:p>
      <w:r>
        <w:t xml:space="preserve"/>
      </w:r>
    </w:p>
    <w:p>
      <w:pPr>
        <w:spacing w:after="100" w:before="240"/>
      </w:pPr>
      <w:r>
        <w:rPr>
          <w:rFonts w:ascii="Arial" w:cs="Arial" w:eastAsia="Arial" w:hAnsi="Arial"/>
          <w:b/>
          <w:bCs/>
          <w:color w:val="0D1B2A"/>
          <w:sz w:val="24"/>
          <w:szCs w:val="24"/>
        </w:rPr>
        <w:t xml:space="preserve">Q: How should I structure a deal where the investor wants profit sharing?</w:t>
      </w:r>
    </w:p>
    <w:p>
      <w:pPr>
        <w:spacing w:after="80" w:before="80"/>
      </w:pPr>
      <w:r>
        <w:rPr>
          <w:rFonts w:ascii="Arial" w:cs="Arial" w:eastAsia="Arial" w:hAnsi="Arial"/>
          <w:sz w:val="22"/>
          <w:szCs w:val="22"/>
        </w:rPr>
        <w:t xml:space="preserve">Keep the promissory note plain — interest only, clean terms. Handle profit sharing or additional terms outside the note in a separate joint venture agreement. Never embed complex compensation structures inside the security documents.</w:t>
      </w:r>
    </w:p>
    <w:p>
      <w:r>
        <w:t xml:space="preserve"/>
      </w:r>
    </w:p>
    <w:p>
      <w:pPr>
        <w:spacing w:after="100" w:before="240"/>
      </w:pPr>
      <w:r>
        <w:rPr>
          <w:rFonts w:ascii="Arial" w:cs="Arial" w:eastAsia="Arial" w:hAnsi="Arial"/>
          <w:b/>
          <w:bCs/>
          <w:color w:val="0D1B2A"/>
          <w:sz w:val="24"/>
          <w:szCs w:val="24"/>
        </w:rPr>
        <w:t xml:space="preserve">Q: What about one-off seller financing?</w:t>
      </w:r>
    </w:p>
    <w:p>
      <w:pPr>
        <w:spacing w:after="80" w:before="80"/>
      </w:pPr>
      <w:r>
        <w:rPr>
          <w:rFonts w:ascii="Arial" w:cs="Arial" w:eastAsia="Arial" w:hAnsi="Arial"/>
          <w:sz w:val="22"/>
          <w:szCs w:val="22"/>
        </w:rPr>
        <w:t xml:space="preserve">As long as you structure it so the seller wins — fair terms, proper documentation — you're generally fine. Have a note and a security agreement in place. Predatory structures are what attract regulatory scrutiny. When in doubt, consult an attorney.</w:t>
      </w:r>
    </w:p>
    <w:p>
      <w:r>
        <w:t xml:space="preserve"/>
      </w:r>
    </w:p>
    <w:p>
      <w:pPr>
        <w:pBdr>
          <w:bottom w:val="single" w:color="C89B3C" w:sz="4" w:space="4"/>
        </w:pBdr>
        <w:spacing w:after="160" w:before="320"/>
      </w:pPr>
      <w:r>
        <w:rPr>
          <w:rFonts w:ascii="Arial" w:cs="Arial" w:eastAsia="Arial" w:hAnsi="Arial"/>
          <w:b/>
          <w:bCs/>
          <w:color w:val="0D1B2A"/>
          <w:sz w:val="28"/>
          <w:szCs w:val="28"/>
        </w:rPr>
        <w:t xml:space="preserve">CHAPTER 2 — SEC COMPLIANCE &amp; MARKETING</w:t>
      </w:r>
    </w:p>
    <w:p>
      <w:r>
        <w:t xml:space="preserve"/>
      </w:r>
    </w:p>
    <w:p>
      <w:pPr>
        <w:spacing w:after="100" w:before="240"/>
      </w:pPr>
      <w:r>
        <w:rPr>
          <w:rFonts w:ascii="Arial" w:cs="Arial" w:eastAsia="Arial" w:hAnsi="Arial"/>
          <w:b/>
          <w:bCs/>
          <w:color w:val="0D1B2A"/>
          <w:sz w:val="24"/>
          <w:szCs w:val="24"/>
        </w:rPr>
        <w:t xml:space="preserve">Q: If I list my track record on my website (number of deals), is that okay?</w:t>
      </w:r>
    </w:p>
    <w:p>
      <w:pPr>
        <w:spacing w:after="80" w:before="80"/>
      </w:pPr>
      <w:r>
        <w:rPr>
          <w:rFonts w:ascii="Arial" w:cs="Arial" w:eastAsia="Arial" w:hAnsi="Arial"/>
          <w:sz w:val="22"/>
          <w:szCs w:val="22"/>
        </w:rPr>
        <w:t xml:space="preserve">Only if you can prove every claim with documentation (HUD-1s, closing statements). But consider: do you want to share that level of business detail with the SEC? Best practice — always include a disclosure statement anytime you reference performance metrics publicly.</w:t>
      </w:r>
    </w:p>
    <w:p>
      <w:r>
        <w:t xml:space="preserve"/>
      </w:r>
    </w:p>
    <w:p>
      <w:pPr>
        <w:spacing w:after="100" w:before="240"/>
      </w:pPr>
      <w:r>
        <w:rPr>
          <w:rFonts w:ascii="Arial" w:cs="Arial" w:eastAsia="Arial" w:hAnsi="Arial"/>
          <w:b/>
          <w:bCs/>
          <w:color w:val="0D1B2A"/>
          <w:sz w:val="24"/>
          <w:szCs w:val="24"/>
        </w:rPr>
        <w:t xml:space="preserve">Q: Can I create a training video or presentation to attract private lenders?</w:t>
      </w:r>
    </w:p>
    <w:p>
      <w:pPr>
        <w:spacing w:after="80" w:before="80"/>
      </w:pPr>
      <w:r>
        <w:rPr>
          <w:rFonts w:ascii="Arial" w:cs="Arial" w:eastAsia="Arial" w:hAnsi="Arial"/>
          <w:sz w:val="22"/>
          <w:szCs w:val="22"/>
        </w:rPr>
        <w:t xml:space="preserve">Proceed with caution. A training video designed to attract lenders is an invitation for regulatory scrutiny. It may not be technically prohibited, but it adds unnecessary risk. Focus on one-on-one relationship development instead.</w:t>
      </w:r>
    </w:p>
    <w:p>
      <w:r>
        <w:t xml:space="preserve"/>
      </w:r>
    </w:p>
    <w:p>
      <w:pPr>
        <w:spacing w:after="100" w:before="240"/>
      </w:pPr>
      <w:r>
        <w:rPr>
          <w:rFonts w:ascii="Arial" w:cs="Arial" w:eastAsia="Arial" w:hAnsi="Arial"/>
          <w:b/>
          <w:bCs/>
          <w:color w:val="0D1B2A"/>
          <w:sz w:val="24"/>
          <w:szCs w:val="24"/>
        </w:rPr>
        <w:t xml:space="preserve">Q: How does Dodd-Frank affect accredited investors and private lending?</w:t>
      </w:r>
    </w:p>
    <w:p>
      <w:pPr>
        <w:spacing w:after="80" w:before="80"/>
      </w:pPr>
      <w:r>
        <w:rPr>
          <w:rFonts w:ascii="Arial" w:cs="Arial" w:eastAsia="Arial" w:hAnsi="Arial"/>
          <w:sz w:val="22"/>
          <w:szCs w:val="22"/>
        </w:rPr>
        <w:t xml:space="preserve">Dodd-Frank tightened traditional mortgage lending requirements — more borrowers get turned down for conventional financing. This creates more opportunity for private lenders, not less. Real estate secured by a hard asset is not a security under Dodd-Frank. Your private lending program is not impacted by these regulations.</w:t>
      </w:r>
    </w:p>
    <w:p>
      <w:r>
        <w:t xml:space="preserve"/>
      </w:r>
    </w:p>
    <w:p>
      <w:pPr>
        <w:pBdr>
          <w:bottom w:val="single" w:color="C89B3C" w:sz="4" w:space="4"/>
        </w:pBdr>
        <w:spacing w:after="160" w:before="320"/>
      </w:pPr>
      <w:r>
        <w:rPr>
          <w:rFonts w:ascii="Arial" w:cs="Arial" w:eastAsia="Arial" w:hAnsi="Arial"/>
          <w:b/>
          <w:bCs/>
          <w:color w:val="0D1B2A"/>
          <w:sz w:val="28"/>
          <w:szCs w:val="28"/>
        </w:rPr>
        <w:t xml:space="preserve">CHAPTER 3 — LEGAL STRUCTURES &amp; DOCUMENTATION</w:t>
      </w:r>
    </w:p>
    <w:p>
      <w:r>
        <w:t xml:space="preserve"/>
      </w:r>
    </w:p>
    <w:p>
      <w:pPr>
        <w:spacing w:after="100" w:before="240"/>
      </w:pPr>
      <w:r>
        <w:rPr>
          <w:rFonts w:ascii="Arial" w:cs="Arial" w:eastAsia="Arial" w:hAnsi="Arial"/>
          <w:b/>
          <w:bCs/>
          <w:color w:val="0D1B2A"/>
          <w:sz w:val="24"/>
          <w:szCs w:val="24"/>
        </w:rPr>
        <w:t xml:space="preserve">Q: What about fractionalized deeds of trust?</w:t>
      </w:r>
    </w:p>
    <w:p>
      <w:pPr>
        <w:spacing w:after="80" w:before="80"/>
      </w:pPr>
      <w:r>
        <w:rPr>
          <w:rFonts w:ascii="Arial" w:cs="Arial" w:eastAsia="Arial" w:hAnsi="Arial"/>
          <w:sz w:val="22"/>
          <w:szCs w:val="22"/>
        </w:rPr>
        <w:t xml:space="preserve">This is a specialized structure. Do not attempt without dedicated legal counsel experienced in securities law. [YOUR COMPANY] does not advise on or facilitate fractionalized deed structures.</w:t>
      </w:r>
    </w:p>
    <w:p>
      <w:r>
        <w:t xml:space="preserve"/>
      </w:r>
    </w:p>
    <w:p>
      <w:pPr>
        <w:spacing w:after="100" w:before="240"/>
      </w:pPr>
      <w:r>
        <w:rPr>
          <w:rFonts w:ascii="Arial" w:cs="Arial" w:eastAsia="Arial" w:hAnsi="Arial"/>
          <w:b/>
          <w:bCs/>
          <w:color w:val="0D1B2A"/>
          <w:sz w:val="24"/>
          <w:szCs w:val="24"/>
        </w:rPr>
        <w:t xml:space="preserve">Q: Should I keep note terms shorter or longer?</w:t>
      </w:r>
    </w:p>
    <w:p>
      <w:pPr>
        <w:spacing w:after="80" w:before="80"/>
      </w:pPr>
      <w:r>
        <w:rPr>
          <w:rFonts w:ascii="Arial" w:cs="Arial" w:eastAsia="Arial" w:hAnsi="Arial"/>
          <w:sz w:val="22"/>
          <w:szCs w:val="22"/>
        </w:rPr>
        <w:t xml:space="preserve">Shorter terms are generally defensible from a legal standpoint — better alignment with existing case law on private lending. Structure terms to match the actual deal timeline.</w:t>
      </w:r>
    </w:p>
    <w:p>
      <w:r>
        <w:t xml:space="preserve"/>
      </w:r>
    </w:p>
    <w:p>
      <w:pPr>
        <w:spacing w:after="100" w:before="240"/>
      </w:pPr>
      <w:r>
        <w:rPr>
          <w:rFonts w:ascii="Arial" w:cs="Arial" w:eastAsia="Arial" w:hAnsi="Arial"/>
          <w:b/>
          <w:bCs/>
          <w:color w:val="0D1B2A"/>
          <w:sz w:val="24"/>
          <w:szCs w:val="24"/>
        </w:rPr>
        <w:t xml:space="preserve">Q: What is the key compliance rule for all private money activity?</w:t>
      </w:r>
    </w:p>
    <w:p>
      <w:pPr>
        <w:spacing w:after="80" w:before="80"/>
      </w:pPr>
      <w:r>
        <w:rPr>
          <w:rFonts w:ascii="Arial" w:cs="Arial" w:eastAsia="Arial" w:hAnsi="Arial"/>
          <w:sz w:val="22"/>
          <w:szCs w:val="22"/>
        </w:rPr>
        <w:t xml:space="preserve">Disclosure. Disclose material facts to all parties. Disclose when you reference performance. Disclose lien positions to all lenders. When you disclose clearly and document properly, you dramatically reduce regulatory and legal exposure.</w:t>
      </w:r>
    </w:p>
    <w:p>
      <w:r>
        <w:t xml:space="preserve"/>
      </w:r>
    </w:p>
    <w:p>
      <w:pPr>
        <w:pBdr>
          <w:bottom w:val="single" w:color="C89B3C" w:sz="4" w:space="4"/>
        </w:pBdr>
        <w:spacing w:after="160" w:before="320"/>
      </w:pPr>
      <w:r>
        <w:rPr>
          <w:rFonts w:ascii="Arial" w:cs="Arial" w:eastAsia="Arial" w:hAnsi="Arial"/>
          <w:b/>
          <w:bCs/>
          <w:color w:val="0D1B2A"/>
          <w:sz w:val="28"/>
          <w:szCs w:val="28"/>
        </w:rPr>
        <w:t xml:space="preserve">GENERAL COMPLIANCE CHECKLIST</w:t>
      </w:r>
    </w:p>
    <w:p>
      <w:pPr>
        <w:pStyle w:val="ListParagraph"/>
        <w:numPr>
          <w:ilvl w:val="0"/>
          <w:numId w:val="2"/>
        </w:numPr>
        <w:spacing w:after="60" w:before="60"/>
      </w:pPr>
      <w:r>
        <w:rPr>
          <w:rFonts w:ascii="Arial" w:cs="Arial" w:eastAsia="Arial" w:hAnsi="Arial"/>
          <w:sz w:val="22"/>
          <w:szCs w:val="22"/>
        </w:rPr>
        <w:t xml:space="preserve">Always disclose all lien positions to all lenders</w:t>
      </w:r>
    </w:p>
    <w:p>
      <w:pPr>
        <w:pStyle w:val="ListParagraph"/>
        <w:numPr>
          <w:ilvl w:val="0"/>
          <w:numId w:val="2"/>
        </w:numPr>
        <w:spacing w:after="60" w:before="60"/>
      </w:pPr>
      <w:r>
        <w:rPr>
          <w:rFonts w:ascii="Arial" w:cs="Arial" w:eastAsia="Arial" w:hAnsi="Arial"/>
          <w:sz w:val="22"/>
          <w:szCs w:val="22"/>
        </w:rPr>
        <w:t xml:space="preserve">Never embed profit-sharing terms inside a promissory note</w:t>
      </w:r>
    </w:p>
    <w:p>
      <w:pPr>
        <w:pStyle w:val="ListParagraph"/>
        <w:numPr>
          <w:ilvl w:val="0"/>
          <w:numId w:val="2"/>
        </w:numPr>
        <w:spacing w:after="60" w:before="60"/>
      </w:pPr>
      <w:r>
        <w:rPr>
          <w:rFonts w:ascii="Arial" w:cs="Arial" w:eastAsia="Arial" w:hAnsi="Arial"/>
          <w:sz w:val="22"/>
          <w:szCs w:val="22"/>
        </w:rPr>
        <w:t xml:space="preserve">Include performance disclaimers on all public-facing materials</w:t>
      </w:r>
    </w:p>
    <w:p>
      <w:pPr>
        <w:pStyle w:val="ListParagraph"/>
        <w:numPr>
          <w:ilvl w:val="0"/>
          <w:numId w:val="2"/>
        </w:numPr>
        <w:spacing w:after="60" w:before="60"/>
      </w:pPr>
      <w:r>
        <w:rPr>
          <w:rFonts w:ascii="Arial" w:cs="Arial" w:eastAsia="Arial" w:hAnsi="Arial"/>
          <w:sz w:val="22"/>
          <w:szCs w:val="22"/>
        </w:rPr>
        <w:t xml:space="preserve">Use an attorney to review joint venture agreements</w:t>
      </w:r>
    </w:p>
    <w:p>
      <w:pPr>
        <w:pStyle w:val="ListParagraph"/>
        <w:numPr>
          <w:ilvl w:val="0"/>
          <w:numId w:val="2"/>
        </w:numPr>
        <w:spacing w:after="60" w:before="60"/>
      </w:pPr>
      <w:r>
        <w:rPr>
          <w:rFonts w:ascii="Arial" w:cs="Arial" w:eastAsia="Arial" w:hAnsi="Arial"/>
          <w:sz w:val="22"/>
          <w:szCs w:val="22"/>
        </w:rPr>
        <w:t xml:space="preserve">Keep notes shorter-term when possible</w:t>
      </w:r>
    </w:p>
    <w:p>
      <w:pPr>
        <w:pStyle w:val="ListParagraph"/>
        <w:numPr>
          <w:ilvl w:val="0"/>
          <w:numId w:val="2"/>
        </w:numPr>
        <w:spacing w:after="60" w:before="60"/>
      </w:pPr>
      <w:r>
        <w:rPr>
          <w:rFonts w:ascii="Arial" w:cs="Arial" w:eastAsia="Arial" w:hAnsi="Arial"/>
          <w:sz w:val="22"/>
          <w:szCs w:val="22"/>
        </w:rPr>
        <w:t xml:space="preserve">Do not create solicitation materials without legal review</w:t>
      </w:r>
    </w:p>
    <w:p>
      <w:pPr>
        <w:pStyle w:val="ListParagraph"/>
        <w:numPr>
          <w:ilvl w:val="0"/>
          <w:numId w:val="2"/>
        </w:numPr>
        <w:spacing w:after="60" w:before="60"/>
      </w:pPr>
      <w:r>
        <w:rPr>
          <w:rFonts w:ascii="Arial" w:cs="Arial" w:eastAsia="Arial" w:hAnsi="Arial"/>
          <w:sz w:val="22"/>
          <w:szCs w:val="22"/>
        </w:rPr>
        <w:t xml:space="preserve">Never use automatic renewal clauses — reissue notes instead</w:t>
      </w:r>
    </w:p>
    <w:p>
      <w:pPr>
        <w:pStyle w:val="ListParagraph"/>
        <w:numPr>
          <w:ilvl w:val="0"/>
          <w:numId w:val="2"/>
        </w:numPr>
        <w:spacing w:after="60" w:before="60"/>
      </w:pPr>
      <w:r>
        <w:rPr>
          <w:rFonts w:ascii="Arial" w:cs="Arial" w:eastAsia="Arial" w:hAnsi="Arial"/>
          <w:sz w:val="22"/>
          <w:szCs w:val="22"/>
        </w:rPr>
        <w:t xml:space="preserve">Document every transaction with a note and security agreement</w:t>
      </w:r>
    </w:p>
    <w:p>
      <w:r>
        <w:t xml:space="preserve"/>
      </w:r>
    </w:p>
    <w:p>
      <w:pPr>
        <w:pBdr>
          <w:top w:val="single" w:color="CCCCCC" w:sz="2" w:space="4"/>
        </w:pBdr>
        <w:spacing w:after="80" w:before="400"/>
      </w:pPr>
      <w:r>
        <w:rPr>
          <w:rFonts w:ascii="Arial" w:cs="Arial" w:eastAsia="Arial" w:hAnsi="Arial"/>
          <w:i/>
          <w:iCs/>
          <w:color w:val="666666"/>
          <w:sz w:val="16"/>
          <w:szCs w:val="16"/>
        </w:rPr>
        <w:t xml:space="preserve">DISCLAIMER: This document is provided for educational purposes only and does not constitute legal, financial, or investment advice. [YOUR COMPANY] and The Dessauer Group make no representations or warranties regarding the accuracy or completeness of this information. Consult qualified legal and financial professionals before acting on any information contained herein.</w:t>
      </w:r>
    </w:p>
    <w:sectPr>
      <w:headerReference w:type="default" r:id="rId7"/>
      <w:footerReference w:type="default" r:id="rId8"/>
      <w:pgSz w:w="12240" w:h="15840" w:orient="portrait"/>
      <w:pgMar w:top="72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9B3C" w:sz="4" w:space="4"/>
      </w:pBdr>
      <w:tabs>
        <w:tab w:val="center" w:pos="5040"/>
        <w:tab w:val="right" w:pos="10080"/>
      </w:tabs>
    </w:pPr>
    <w:r>
      <w:rPr>
        <w:rFonts w:ascii="Arial" w:cs="Arial" w:eastAsia="Arial" w:hAnsi="Arial"/>
        <w:color w:val="0D1B2A"/>
        <w:sz w:val="16"/>
        <w:szCs w:val="16"/>
      </w:rPr>
      <w:t xml:space="preserve">FORGE | Powered by ARIS | ForgedByAris.com</w:t>
    </w:r>
    <w:r>
      <w:rPr>
        <w:rFonts w:ascii="Arial" w:cs="Arial" w:eastAsia="Arial" w:hAnsi="Arial"/>
        <w:color w:val="0D1B2A"/>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none"/>
        <w:left w:val="none"/>
        <w:bottom w:val="single" w:color="C89B3C" w:sz="6"/>
        <w:right w:val="none"/>
        <w:insideH w:val="single" w:color="auto" w:sz="4"/>
        <w:insideV w:val="single" w:color="auto" w:sz="4"/>
      </w:tblBorders>
    </w:tblPr>
    <w:tblGrid>
      <w:gridCol w:w="7560"/>
      <w:gridCol w:w="2520"/>
    </w:tblGrid>
    <w:tr>
      <w:tc>
        <w:tcPr>
          <w:tcW w:type="dxa" w:w="7560"/>
          <w:shd w:fill="0D1B2A" w:val="clear"/>
          <w:tcMar>
            <w:top w:type="dxa" w:w="80"/>
            <w:left w:type="dxa" w:w="120"/>
            <w:bottom w:type="dxa" w:w="80"/>
            <w:right w:type="dxa" w:w="120"/>
          </w:tcMar>
        </w:tcPr>
        <w:p>
          <w:r>
            <w:rPr>
              <w:rFonts w:ascii="Arial" w:cs="Arial" w:eastAsia="Arial" w:hAnsi="Arial"/>
              <w:b/>
              <w:bCs/>
              <w:color w:val="FFFFFF"/>
              <w:sz w:val="28"/>
              <w:szCs w:val="28"/>
            </w:rPr>
            <w:t xml:space="preserve">FORGE</w:t>
          </w:r>
        </w:p>
        <w:p>
          <w:r>
            <w:rPr>
              <w:rFonts w:ascii="Arial" w:cs="Arial" w:eastAsia="Arial" w:hAnsi="Arial"/>
              <w:color w:val="C89B3C"/>
              <w:sz w:val="20"/>
              <w:szCs w:val="20"/>
            </w:rPr>
            <w:t xml:space="preserve">Private Money Compliance FAQ</w:t>
          </w:r>
        </w:p>
      </w:tc>
      <w:tc>
        <w:tcPr>
          <w:tcW w:type="dxa" w:w="2520"/>
          <w:shd w:fill="0D1B2A" w:val="clear"/>
          <w:tcMar>
            <w:top w:type="dxa" w:w="80"/>
            <w:left w:type="dxa" w:w="120"/>
            <w:bottom w:type="dxa" w:w="80"/>
            <w:right w:type="dxa" w:w="120"/>
          </w:tcMar>
          <w:vAlign w:val="center"/>
        </w:tcPr>
        <w:p>
          <w:pPr>
            <w:jc w:val="right"/>
          </w:pPr>
          <w:r>
            <w:rPr>
              <w:rFonts w:ascii="Arial" w:cs="Arial" w:eastAsia="Arial" w:hAnsi="Arial"/>
              <w:i/>
              <w:iCs/>
              <w:color w:val="C89B3C"/>
              <w:sz w:val="16"/>
              <w:szCs w:val="16"/>
            </w:rPr>
            <w:t xml:space="preserve">Powered by ARIS</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2026-06-15T21:48:37.169Z</dcterms:created>
  <dcterms:modified xsi:type="dcterms:W3CDTF">2026-06-15T21:48:37.169Z</dcterms:modified>
</cp:coreProperties>
</file>

<file path=docProps/custom.xml><?xml version="1.0" encoding="utf-8"?>
<Properties xmlns="http://schemas.openxmlformats.org/officeDocument/2006/custom-properties" xmlns:vt="http://schemas.openxmlformats.org/officeDocument/2006/docPropsVTypes"/>
</file>