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Financial Formulas Cheat Sheet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Real Estate Investment Analysis Reference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This reference covers every key financial metric used in real estate investment analysis — from single-family rehabs to multifamily acquisitions. Bookmark this. Use ARIS to run any of these calculations on your live deals.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REAL ESTATE INVESTMENT FORMULAS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TELLS YOU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Capitalization (CAP)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Net Operating Income (NOI) ÷ Purchase Price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Measures the rate of return on a property independent of financing. Higher CAP = higher yield (and typically higher risk).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Net Operating Income (NOI)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Gross Operating Income − Operating Expenses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income a property generates after operating expenses but before debt service. The core number in commercial valuation.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Purchase Price / Value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Net Operating Income (NOI) ÷ CAP Rate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Used to value commercial property when you know the NOI and target CAP rate.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Cash-on-Cash Return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Net Annual Cash Flow ÷ Total Cash Invested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Measures the actual cash return on the cash you put in. Accounts for financing. A key metric for leveraged deals.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Debt Coverage Ratio (DCR)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Net Operating Income (NOI) ÷ Annual Debt Service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Lenders require DCR &gt; 1.20–1.25. Below 1.0 = the property can't cover its own debt.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Operating Expense 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Annual Operating Expenses ÷ Gross Operating Income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Tracks what percentage of income is consumed by expenses. Lower is better.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Break-Even Ratio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(Annual Operating Expenses + Annual Debt Service) ÷ Gross Operating Income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occupancy rate at which a property covers all expenses and debt. Critical for stress-testing.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Loan-to-Value (LTV)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Loan Amount ÷ Property Value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Lenders limit LTV (typically 65–80%). Private lenders typically require LTV ≤ 70–75%.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Loan-to-Cost (LTC)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Loan Amount ÷ Total Project Cost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Used in construction and rehab lending. Measures how much of total cost the lender is funding.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Price Per 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Purchase Price ÷ Number of Units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Multifamily benchmark for comparing properties. Also used to track market trends.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Income Per 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Gross Operating Income ÷ Number of Units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Measures average income contribution per unit. Use alongside price per unit for relative value.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Net Income Per 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Net Operating Income ÷ Number of Units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More precise than income per unit — strips out operating expenses.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Expense Per Unit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Total Operating Expenses ÷ Number of Units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Benchmarks operating efficiency. Compare to market averages to identify over/under-managed properties.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Price Per Square Foot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Purchase Price ÷ Total Square Footage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Standard residential and commercial comparison metric.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Income Per Square Foot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Gross Operating Income ÷ Total Square Footage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Common in commercial/retail leasing analysis.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Net Income Per Square Foot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Net Operating Income ÷ Total Square Footage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Higher NOI per sq ft = more efficient income generation relative to space.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Expense Per Square Foot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Total Operating Expenses ÷ Total Square Footage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Benchmarks operational cost efficiency by size.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&amp; LOSS STATEMENT — LINE BY LINE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This is the income analysis structure for any income-producing property. Work from top to bottom. The color coding: blue = result line / red = deduction / white = income add.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LINE ITEM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Gross Potential Rental Income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Total rent if every unit is occupied at full market rent — 100% occupancy.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6"/>
                <w:szCs w:val="16"/>
              </w:rPr>
              <w:t xml:space="preserve">− Vacancy &amp; Credit Loss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Deduct estimated vacancy (typically 5–10%) and uncollected rent.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= Effective Rental Income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Actual expected rent after vacancy and credit adjustments.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+ Other Income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Parking, laundry, late fees, pet fees, storage — all non-rent revenue.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= Gross Operating Income (GOI)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Total income from all sources available to cover expenses.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6"/>
                <w:szCs w:val="16"/>
              </w:rPr>
              <w:t xml:space="preserve">− Operating Expenses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Property management, taxes, insurance, utilities, maintenance, repairs, CapEx reserves.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= Net Operating Income (NOI)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property's earning power before debt service. The key valuation metric.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6"/>
                <w:szCs w:val="16"/>
              </w:rPr>
              <w:t xml:space="preserve">− Annual Debt Service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Total principal and interest payments on all loans.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6"/>
                <w:szCs w:val="16"/>
              </w:rPr>
              <w:t xml:space="preserve">− Leasing Commissions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Broker fees for signing new tenants (commercial/multifamily).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6"/>
                <w:szCs w:val="16"/>
              </w:rPr>
              <w:t xml:space="preserve">− Reserves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Capital expenditure reserves — roof, HVAC, major systems.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6"/>
                <w:szCs w:val="16"/>
              </w:rPr>
              <w:t xml:space="preserve">− Capital Improvements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Major improvements not covered by reserves.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= Net Cash Flow Before Taxes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What the investor actually puts in their pocket before taxes.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REFERENCE — HEALTHY BENCHMARKS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CAP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4–10%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Varies by market. Higher CAP = higher yield and risk. Class A markets: 4–6%. Secondary: 7–10%.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Cash-on-Cash 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8–15%+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Depends on leverage. 10%+ is generally strong for a leveraged deal.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Debt Coverage Ratio (DCR)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1.20–1.35+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Most lenders require 1.20–1.25 minimum. Higher = safer.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Operating Expense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35–50%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Single-family: 35–45%. Multifamily: 40–55%. Higher = management issues or deferred maintenance.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Break-Even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&lt; 85%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Below 85% gives comfort zone. Above 90% = very tight — vulnerable to vacancy swings.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Loan-to-Value (LTV)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≤ 75%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Private lenders: typically 65–75%. Hard money: up to 80% on ARV.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Vacancy Rate Assumption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6"/>
                <w:szCs w:val="16"/>
              </w:rPr>
              <w:t xml:space="preserve">5–10%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Use 5% in tight markets, 8–10% in softer markets. Never underwrite at 0%.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2026-06-15T20:57:32.294Z</dcterms:created>
  <dcterms:modified xsi:type="dcterms:W3CDTF">2026-06-15T20:57:32.307Z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