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Rental Property Deal Analyzer Guide</w:t>
            </w:r>
          </w:p>
          <w:p>
            <w:pPr>
              <w:jc w:val="right"/>
            </w:pPr>
            <w:r>
              <w:rPr>
                <w:rFonts w:ascii="Arial" w:cs="Arial" w:eastAsia="Arial" w:hAnsi="Arial"/>
                <w:i/>
                <w:iCs/>
                <w:color w:val="C89B3C"/>
                <w:sz w:val="19"/>
                <w:szCs w:val="19"/>
              </w:rPr>
              <w:t xml:space="preserve">How to Evaluate Any Buy &amp; Hold Investment</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vary significantly by state and municipality. All documents should be reviewed and approved by a licensed attorney in your jurisdiction before use. Always consult qualified legal and financial professionals before making any investment decision.</w:t>
      </w:r>
    </w:p>
    <w:p>
      <w:pPr>
        <w:spacing w:after="60" w:before="60"/>
      </w:pPr>
      <w:r>
        <w:t xml:space="preserve"/>
      </w:r>
    </w:p>
    <w:p>
      <w:pPr>
        <w:spacing w:after="80" w:before="80"/>
      </w:pPr>
      <w:r>
        <w:rPr>
          <w:rFonts w:ascii="Arial" w:cs="Arial" w:eastAsia="Arial" w:hAnsi="Arial"/>
          <w:b w:val="false"/>
          <w:bCs w:val="false"/>
          <w:color w:val="333333"/>
          <w:sz w:val="20"/>
          <w:szCs w:val="20"/>
        </w:rPr>
        <w:t xml:space="preserve">The FORGE Deal Analyzer includes a full rental analysis module for single-family and multi-family residential properties up to 10 units. This guide explains every input, calculation, and projection so you understand the numbers — not just what to enter, but why it matters.</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Garbage in, garbage out. The accuracy of your analysis depends entirely on the accuracy of your inputs. Use real data from listings, property tax records, past leases, and local property managers.</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THE FOUR WAYS TO PROFIT FROM RENTAL REAL ESTATE</w:t>
      </w:r>
    </w:p>
    <w:p>
      <w:pPr>
        <w:spacing w:after="80" w:before="80"/>
      </w:pPr>
      <w:r>
        <w:rPr>
          <w:rFonts w:ascii="Arial" w:cs="Arial" w:eastAsia="Arial" w:hAnsi="Arial"/>
          <w:b/>
          <w:bCs/>
          <w:color w:val="333333"/>
          <w:sz w:val="20"/>
          <w:szCs w:val="20"/>
        </w:rPr>
        <w:t xml:space="preserve">Cash Flow</w:t>
      </w:r>
    </w:p>
    <w:p>
      <w:pPr>
        <w:spacing w:after="80" w:before="80"/>
      </w:pPr>
      <w:r>
        <w:rPr>
          <w:rFonts w:ascii="Arial" w:cs="Arial" w:eastAsia="Arial" w:hAnsi="Arial"/>
          <w:b w:val="false"/>
          <w:bCs w:val="false"/>
          <w:color w:val="333333"/>
          <w:sz w:val="20"/>
          <w:szCs w:val="20"/>
        </w:rPr>
        <w:t xml:space="preserve">Monthly rent minus all expenses (mortgage, taxes, insurance, management, maintenance). Positive cash flow is passive income — the foundation of long-term wealth through real estate.</w:t>
      </w:r>
    </w:p>
    <w:p>
      <w:pPr>
        <w:spacing w:after="60" w:before="60"/>
      </w:pPr>
      <w:r>
        <w:t xml:space="preserve"/>
      </w:r>
    </w:p>
    <w:p>
      <w:pPr>
        <w:spacing w:after="80" w:before="80"/>
      </w:pPr>
      <w:r>
        <w:rPr>
          <w:rFonts w:ascii="Arial" w:cs="Arial" w:eastAsia="Arial" w:hAnsi="Arial"/>
          <w:b/>
          <w:bCs/>
          <w:color w:val="333333"/>
          <w:sz w:val="20"/>
          <w:szCs w:val="20"/>
        </w:rPr>
        <w:t xml:space="preserve">Appreciation</w:t>
      </w:r>
    </w:p>
    <w:p>
      <w:pPr>
        <w:spacing w:after="80" w:before="80"/>
      </w:pPr>
      <w:r>
        <w:rPr>
          <w:rFonts w:ascii="Arial" w:cs="Arial" w:eastAsia="Arial" w:hAnsi="Arial"/>
          <w:b w:val="false"/>
          <w:bCs w:val="false"/>
          <w:color w:val="333333"/>
          <w:sz w:val="20"/>
          <w:szCs w:val="20"/>
        </w:rPr>
        <w:t xml:space="preserve">The increase in property value over time. Both internal (renovations, improvements) and external (inflation, market growth) factors drive appreciation. Real estate generally appreciates over long time horizons.</w:t>
      </w:r>
    </w:p>
    <w:p>
      <w:pPr>
        <w:spacing w:after="60" w:before="60"/>
      </w:pPr>
      <w:r>
        <w:t xml:space="preserve"/>
      </w:r>
    </w:p>
    <w:p>
      <w:pPr>
        <w:spacing w:after="80" w:before="80"/>
      </w:pPr>
      <w:r>
        <w:rPr>
          <w:rFonts w:ascii="Arial" w:cs="Arial" w:eastAsia="Arial" w:hAnsi="Arial"/>
          <w:b/>
          <w:bCs/>
          <w:color w:val="333333"/>
          <w:sz w:val="20"/>
          <w:szCs w:val="20"/>
        </w:rPr>
        <w:t xml:space="preserve">Loan Amortization</w:t>
      </w:r>
    </w:p>
    <w:p>
      <w:pPr>
        <w:spacing w:after="80" w:before="80"/>
      </w:pPr>
      <w:r>
        <w:rPr>
          <w:rFonts w:ascii="Arial" w:cs="Arial" w:eastAsia="Arial" w:hAnsi="Arial"/>
          <w:b w:val="false"/>
          <w:bCs w:val="false"/>
          <w:color w:val="333333"/>
          <w:sz w:val="20"/>
          <w:szCs w:val="20"/>
        </w:rPr>
        <w:t xml:space="preserve">Each mortgage payment reduces your principal balance. When tenants pay rent, they're effectively paying down your loan. Your equity grows with every payment — even if the property doesn't appreciate.</w:t>
      </w:r>
    </w:p>
    <w:p>
      <w:pPr>
        <w:spacing w:after="60" w:before="60"/>
      </w:pPr>
      <w:r>
        <w:t xml:space="preserve"/>
      </w:r>
    </w:p>
    <w:p>
      <w:pPr>
        <w:spacing w:after="80" w:before="80"/>
      </w:pPr>
      <w:r>
        <w:rPr>
          <w:rFonts w:ascii="Arial" w:cs="Arial" w:eastAsia="Arial" w:hAnsi="Arial"/>
          <w:b/>
          <w:bCs/>
          <w:color w:val="333333"/>
          <w:sz w:val="20"/>
          <w:szCs w:val="20"/>
        </w:rPr>
        <w:t xml:space="preserve">Tax Advantages</w:t>
      </w:r>
    </w:p>
    <w:p>
      <w:pPr>
        <w:spacing w:after="80" w:before="80"/>
      </w:pPr>
      <w:r>
        <w:rPr>
          <w:rFonts w:ascii="Arial" w:cs="Arial" w:eastAsia="Arial" w:hAnsi="Arial"/>
          <w:b w:val="false"/>
          <w:bCs w:val="false"/>
          <w:color w:val="333333"/>
          <w:sz w:val="20"/>
          <w:szCs w:val="20"/>
        </w:rPr>
        <w:t xml:space="preserve">Mortgage interest, property depreciation, and operating expenses are all deductible. Residential properties depreciate over 27.5 years, commercial over 39 years. These deductions shelter both rental income and your other income.</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SECTION 1 — KEY INPUTS</w:t>
      </w:r>
    </w:p>
    <w:p>
      <w:pPr>
        <w:spacing w:after="80" w:before="200"/>
      </w:pPr>
      <w:r>
        <w:rPr>
          <w:rFonts w:ascii="Arial" w:cs="Arial" w:eastAsia="Arial" w:hAnsi="Arial"/>
          <w:b/>
          <w:bCs/>
          <w:color w:val="0D1B2A"/>
          <w:sz w:val="21"/>
          <w:szCs w:val="21"/>
        </w:rPr>
        <w:t xml:space="preserve">Leverage</w:t>
      </w:r>
    </w:p>
    <w:p>
      <w:pPr>
        <w:spacing w:after="80" w:before="80"/>
      </w:pPr>
      <w:r>
        <w:rPr>
          <w:rFonts w:ascii="Arial" w:cs="Arial" w:eastAsia="Arial" w:hAnsi="Arial"/>
          <w:b w:val="false"/>
          <w:bCs w:val="false"/>
          <w:color w:val="333333"/>
          <w:sz w:val="20"/>
          <w:szCs w:val="20"/>
        </w:rPr>
        <w:t xml:space="preserve">The percentage of the purchase funded by a loan. More leverage = less of your own money in the deal = higher cash-on-cash return (but more risk). Input as a percentage (e.g., 75% means 25% down).</w:t>
      </w:r>
    </w:p>
    <w:p>
      <w:pPr>
        <w:spacing w:after="80" w:before="200"/>
      </w:pPr>
      <w:r>
        <w:rPr>
          <w:rFonts w:ascii="Arial" w:cs="Arial" w:eastAsia="Arial" w:hAnsi="Arial"/>
          <w:b/>
          <w:bCs/>
          <w:color w:val="0D1B2A"/>
          <w:sz w:val="21"/>
          <w:szCs w:val="21"/>
        </w:rPr>
        <w:t xml:space="preserve">Appreciation Rate</w:t>
      </w:r>
    </w:p>
    <w:p>
      <w:pPr>
        <w:spacing w:after="80" w:before="80"/>
      </w:pPr>
      <w:r>
        <w:rPr>
          <w:rFonts w:ascii="Arial" w:cs="Arial" w:eastAsia="Arial" w:hAnsi="Arial"/>
          <w:b w:val="false"/>
          <w:bCs w:val="false"/>
          <w:color w:val="333333"/>
          <w:sz w:val="20"/>
          <w:szCs w:val="20"/>
        </w:rPr>
        <w:t xml:space="preserve">Your estimated annual increase in property value. Be conservative. Ask local agents and property managers for market data. If uncertain, use a lower number. Never use appreciation to justify a deal that doesn't cash flow.</w:t>
      </w:r>
    </w:p>
    <w:p>
      <w:pPr>
        <w:spacing w:after="80" w:before="200"/>
      </w:pPr>
      <w:r>
        <w:rPr>
          <w:rFonts w:ascii="Arial" w:cs="Arial" w:eastAsia="Arial" w:hAnsi="Arial"/>
          <w:b/>
          <w:bCs/>
          <w:color w:val="0D1B2A"/>
          <w:sz w:val="21"/>
          <w:szCs w:val="21"/>
        </w:rPr>
        <w:t xml:space="preserve">Market Cap Rate</w:t>
      </w:r>
    </w:p>
    <w:p>
      <w:pPr>
        <w:spacing w:after="80" w:before="80"/>
      </w:pPr>
      <w:r>
        <w:rPr>
          <w:rFonts w:ascii="Arial" w:cs="Arial" w:eastAsia="Arial" w:hAnsi="Arial"/>
          <w:b w:val="false"/>
          <w:bCs w:val="false"/>
          <w:color w:val="333333"/>
          <w:sz w:val="20"/>
          <w:szCs w:val="20"/>
        </w:rPr>
        <w:t xml:space="preserve">The average cap rate for comparable properties in your target market — not the subject property's cap rate. Used to calculate Present Market Value. Source this from local agents, property managers, and other investors. Rates vary significantly by market (e.g., 6% in high-cost coastal markets vs. 10–12% in Midwest markets).</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SECTION 2 — FIRST-YEAR OPERATING INPUTS</w:t>
      </w:r>
    </w:p>
    <w:p>
      <w:pPr>
        <w:spacing w:after="80" w:before="200"/>
      </w:pPr>
      <w:r>
        <w:rPr>
          <w:rFonts w:ascii="Arial" w:cs="Arial" w:eastAsia="Arial" w:hAnsi="Arial"/>
          <w:b/>
          <w:bCs/>
          <w:color w:val="0D1B2A"/>
          <w:sz w:val="21"/>
          <w:szCs w:val="21"/>
        </w:rPr>
        <w:t xml:space="preserve">Gross Scheduled Income (GSI)</w:t>
      </w:r>
    </w:p>
    <w:p>
      <w:pPr>
        <w:spacing w:after="80" w:before="80"/>
      </w:pPr>
      <w:r>
        <w:rPr>
          <w:rFonts w:ascii="Arial" w:cs="Arial" w:eastAsia="Arial" w:hAnsi="Arial"/>
          <w:b w:val="false"/>
          <w:bCs w:val="false"/>
          <w:color w:val="333333"/>
          <w:sz w:val="20"/>
          <w:szCs w:val="20"/>
        </w:rPr>
        <w:t xml:space="preserve">Total annual rent assuming 100% occupancy — best-case scenario. This is your starting point before deducting vacancies. Get this from the listing, current leases, or comparable rents in the area.</w:t>
      </w:r>
    </w:p>
    <w:p>
      <w:pPr>
        <w:spacing w:after="80" w:before="200"/>
      </w:pPr>
      <w:r>
        <w:rPr>
          <w:rFonts w:ascii="Arial" w:cs="Arial" w:eastAsia="Arial" w:hAnsi="Arial"/>
          <w:b/>
          <w:bCs/>
          <w:color w:val="0D1B2A"/>
          <w:sz w:val="21"/>
          <w:szCs w:val="21"/>
        </w:rPr>
        <w:t xml:space="preserve">Vacancy Rate</w:t>
      </w:r>
    </w:p>
    <w:p>
      <w:pPr>
        <w:spacing w:after="80" w:before="80"/>
      </w:pPr>
      <w:r>
        <w:rPr>
          <w:rFonts w:ascii="Arial" w:cs="Arial" w:eastAsia="Arial" w:hAnsi="Arial"/>
          <w:b w:val="false"/>
          <w:bCs w:val="false"/>
          <w:color w:val="333333"/>
          <w:sz w:val="20"/>
          <w:szCs w:val="20"/>
        </w:rPr>
        <w:t xml:space="preserve">The percentage of GSI lost to empty units. Industry standard is 5–10% for most markets. Use local historical data from a property manager. Err on the side of caution — underestimating vacancies is one of the most common investor mistakes.</w:t>
      </w:r>
    </w:p>
    <w:p>
      <w:pPr>
        <w:spacing w:after="80" w:before="200"/>
      </w:pPr>
      <w:r>
        <w:rPr>
          <w:rFonts w:ascii="Arial" w:cs="Arial" w:eastAsia="Arial" w:hAnsi="Arial"/>
          <w:b/>
          <w:bCs/>
          <w:color w:val="0D1B2A"/>
          <w:sz w:val="21"/>
          <w:szCs w:val="21"/>
        </w:rPr>
        <w:t xml:space="preserve">Utilities</w:t>
      </w:r>
    </w:p>
    <w:p>
      <w:pPr>
        <w:spacing w:after="80" w:before="80"/>
      </w:pPr>
      <w:r>
        <w:rPr>
          <w:rFonts w:ascii="Arial" w:cs="Arial" w:eastAsia="Arial" w:hAnsi="Arial"/>
          <w:b w:val="false"/>
          <w:bCs w:val="false"/>
          <w:color w:val="333333"/>
          <w:sz w:val="20"/>
          <w:szCs w:val="20"/>
        </w:rPr>
        <w:t xml:space="preserve">For multi-family properties, owners typically pay water, sewer, trash, and sometimes gas and electricity for common areas. Single-family tenants usually pay their own utilities. Use 5% of GSI as a starting estimate for multi-family.</w:t>
      </w:r>
    </w:p>
    <w:p>
      <w:pPr>
        <w:spacing w:after="80" w:before="200"/>
      </w:pPr>
      <w:r>
        <w:rPr>
          <w:rFonts w:ascii="Arial" w:cs="Arial" w:eastAsia="Arial" w:hAnsi="Arial"/>
          <w:b/>
          <w:bCs/>
          <w:color w:val="0D1B2A"/>
          <w:sz w:val="21"/>
          <w:szCs w:val="21"/>
        </w:rPr>
        <w:t xml:space="preserve">Property Management</w:t>
      </w:r>
    </w:p>
    <w:p>
      <w:pPr>
        <w:spacing w:after="80" w:before="80"/>
      </w:pPr>
      <w:r>
        <w:rPr>
          <w:rFonts w:ascii="Arial" w:cs="Arial" w:eastAsia="Arial" w:hAnsi="Arial"/>
          <w:b w:val="false"/>
          <w:bCs w:val="false"/>
          <w:color w:val="333333"/>
          <w:sz w:val="20"/>
          <w:szCs w:val="20"/>
        </w:rPr>
        <w:t xml:space="preserve">Typically 8–12% of gross rents collected. If self-managing, enter 0% — but factor in your time. For accurate analysis, use the rate a professional manager would charge. This makes your numbers honest and your deal transferable.</w:t>
      </w:r>
    </w:p>
    <w:p>
      <w:pPr>
        <w:spacing w:after="80" w:before="200"/>
      </w:pPr>
      <w:r>
        <w:rPr>
          <w:rFonts w:ascii="Arial" w:cs="Arial" w:eastAsia="Arial" w:hAnsi="Arial"/>
          <w:b/>
          <w:bCs/>
          <w:color w:val="0D1B2A"/>
          <w:sz w:val="21"/>
          <w:szCs w:val="21"/>
        </w:rPr>
        <w:t xml:space="preserve">Repairs &amp; Maintenance</w:t>
      </w:r>
    </w:p>
    <w:p>
      <w:pPr>
        <w:spacing w:after="80" w:before="80"/>
      </w:pPr>
      <w:r>
        <w:rPr>
          <w:rFonts w:ascii="Arial" w:cs="Arial" w:eastAsia="Arial" w:hAnsi="Arial"/>
          <w:b w:val="false"/>
          <w:bCs w:val="false"/>
          <w:color w:val="333333"/>
          <w:sz w:val="20"/>
          <w:szCs w:val="20"/>
        </w:rPr>
        <w:t xml:space="preserve">Budget 5–10% of GSI annually depending on property age and condition. Newer properties may need less; older properties more. Get input from a local property manager who knows the market.</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SECTION 3 — CORE NUMBERS</w:t>
      </w:r>
    </w:p>
    <w:p>
      <w:pPr>
        <w:spacing w:after="80" w:before="200"/>
      </w:pPr>
      <w:r>
        <w:rPr>
          <w:rFonts w:ascii="Arial" w:cs="Arial" w:eastAsia="Arial" w:hAnsi="Arial"/>
          <w:b/>
          <w:bCs/>
          <w:color w:val="0D1B2A"/>
          <w:sz w:val="21"/>
          <w:szCs w:val="21"/>
        </w:rPr>
        <w:t xml:space="preserve">Gross Rent Multiplier (GRM)</w:t>
      </w:r>
    </w:p>
    <w:p>
      <w:pPr>
        <w:spacing w:after="80" w:before="80"/>
      </w:pPr>
      <w:r>
        <w:rPr>
          <w:rFonts w:ascii="Arial" w:cs="Arial" w:eastAsia="Arial" w:hAnsi="Arial"/>
          <w:b w:val="false"/>
          <w:bCs w:val="false"/>
          <w:color w:val="333333"/>
          <w:sz w:val="20"/>
          <w:szCs w:val="20"/>
        </w:rPr>
        <w:t xml:space="preserve">Purchase Price ÷ Annual GSI. A quick comparative tool — lower is better, but context matters. A low GRM in a declining neighborhood may not beat a higher GRM in an appreciating area with quality tenants.</w:t>
      </w:r>
    </w:p>
    <w:p>
      <w:pPr>
        <w:spacing w:after="80" w:before="200"/>
      </w:pPr>
      <w:r>
        <w:rPr>
          <w:rFonts w:ascii="Arial" w:cs="Arial" w:eastAsia="Arial" w:hAnsi="Arial"/>
          <w:b/>
          <w:bCs/>
          <w:color w:val="0D1B2A"/>
          <w:sz w:val="21"/>
          <w:szCs w:val="21"/>
        </w:rPr>
        <w:t xml:space="preserve">Cap Rate</w:t>
      </w:r>
    </w:p>
    <w:p>
      <w:pPr>
        <w:spacing w:after="80" w:before="80"/>
      </w:pPr>
      <w:r>
        <w:rPr>
          <w:rFonts w:ascii="Arial" w:cs="Arial" w:eastAsia="Arial" w:hAnsi="Arial"/>
          <w:b w:val="false"/>
          <w:bCs w:val="false"/>
          <w:color w:val="333333"/>
          <w:sz w:val="20"/>
          <w:szCs w:val="20"/>
        </w:rPr>
        <w:t xml:space="preserve">Net Operating Income ÷ Purchase Price. The industry standard for evaluating income-producing properties. Compare to your market cap rate to determine if you're buying at, above, or below market value.</w:t>
      </w:r>
    </w:p>
    <w:p>
      <w:pPr>
        <w:spacing w:after="80" w:before="200"/>
      </w:pPr>
      <w:r>
        <w:rPr>
          <w:rFonts w:ascii="Arial" w:cs="Arial" w:eastAsia="Arial" w:hAnsi="Arial"/>
          <w:b/>
          <w:bCs/>
          <w:color w:val="0D1B2A"/>
          <w:sz w:val="21"/>
          <w:szCs w:val="21"/>
        </w:rPr>
        <w:t xml:space="preserve">Present Market Value (PMV)</w:t>
      </w:r>
    </w:p>
    <w:p>
      <w:pPr>
        <w:spacing w:after="80" w:before="80"/>
      </w:pPr>
      <w:r>
        <w:rPr>
          <w:rFonts w:ascii="Arial" w:cs="Arial" w:eastAsia="Arial" w:hAnsi="Arial"/>
          <w:b w:val="false"/>
          <w:bCs w:val="false"/>
          <w:color w:val="333333"/>
          <w:sz w:val="20"/>
          <w:szCs w:val="20"/>
        </w:rPr>
        <w:t xml:space="preserve">NOI ÷ Market Cap Rate. An income-based estimate of what the property is worth based on its earnings power. Compare to the asking price — if PMV is significantly below asking, the price isn't justified by the income.</w:t>
      </w:r>
    </w:p>
    <w:p>
      <w:pPr>
        <w:spacing w:after="80" w:before="200"/>
      </w:pPr>
      <w:r>
        <w:rPr>
          <w:rFonts w:ascii="Arial" w:cs="Arial" w:eastAsia="Arial" w:hAnsi="Arial"/>
          <w:b/>
          <w:bCs/>
          <w:color w:val="0D1B2A"/>
          <w:sz w:val="21"/>
          <w:szCs w:val="21"/>
        </w:rPr>
        <w:t xml:space="preserve">Cash-on-Cash Return</w:t>
      </w:r>
    </w:p>
    <w:p>
      <w:pPr>
        <w:spacing w:after="80" w:before="80"/>
      </w:pPr>
      <w:r>
        <w:rPr>
          <w:rFonts w:ascii="Arial" w:cs="Arial" w:eastAsia="Arial" w:hAnsi="Arial"/>
          <w:b w:val="false"/>
          <w:bCs w:val="false"/>
          <w:color w:val="333333"/>
          <w:sz w:val="20"/>
          <w:szCs w:val="20"/>
        </w:rPr>
        <w:t xml:space="preserve">First-year after-tax cash flow ÷ total cash invested (down payment + closing costs). Measures the return on your actual out-of-pocket investment. Target varies by investor — 6–10% is typical for well-positioned markets.</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SECTION 4 — PROJECTIONS &amp; RETURNS</w:t>
      </w:r>
    </w:p>
    <w:p>
      <w:pPr>
        <w:spacing w:after="80" w:before="200"/>
      </w:pPr>
      <w:r>
        <w:rPr>
          <w:rFonts w:ascii="Arial" w:cs="Arial" w:eastAsia="Arial" w:hAnsi="Arial"/>
          <w:b/>
          <w:bCs/>
          <w:color w:val="0D1B2A"/>
          <w:sz w:val="21"/>
          <w:szCs w:val="21"/>
        </w:rPr>
        <w:t xml:space="preserve">Net Operating Income (NOI)</w:t>
      </w:r>
    </w:p>
    <w:p>
      <w:pPr>
        <w:spacing w:after="80" w:before="80"/>
      </w:pPr>
      <w:r>
        <w:rPr>
          <w:rFonts w:ascii="Arial" w:cs="Arial" w:eastAsia="Arial" w:hAnsi="Arial"/>
          <w:b w:val="false"/>
          <w:bCs w:val="false"/>
          <w:color w:val="333333"/>
          <w:sz w:val="20"/>
          <w:szCs w:val="20"/>
        </w:rPr>
        <w:t xml:space="preserve">Gross Operating Income (GSI minus vacancies) minus Total Operating Expenses. This is the property's earnings before debt service. NOI is what banks and appraisers use to value income properties.</w:t>
      </w:r>
    </w:p>
    <w:p>
      <w:pPr>
        <w:spacing w:after="80" w:before="200"/>
      </w:pPr>
      <w:r>
        <w:rPr>
          <w:rFonts w:ascii="Arial" w:cs="Arial" w:eastAsia="Arial" w:hAnsi="Arial"/>
          <w:b/>
          <w:bCs/>
          <w:color w:val="0D1B2A"/>
          <w:sz w:val="21"/>
          <w:szCs w:val="21"/>
        </w:rPr>
        <w:t xml:space="preserve">Debt Coverage Ratio (DCR)</w:t>
      </w:r>
    </w:p>
    <w:p>
      <w:pPr>
        <w:spacing w:after="80" w:before="80"/>
      </w:pPr>
      <w:r>
        <w:rPr>
          <w:rFonts w:ascii="Arial" w:cs="Arial" w:eastAsia="Arial" w:hAnsi="Arial"/>
          <w:b w:val="false"/>
          <w:bCs w:val="false"/>
          <w:color w:val="333333"/>
          <w:sz w:val="20"/>
          <w:szCs w:val="20"/>
        </w:rPr>
        <w:t xml:space="preserve">NOI ÷ Annual Debt Service (principal + interest). Most lenders require a DCR of 1.2 or higher — meaning NOI covers the mortgage payment by at least 20%. Higher is better. If DCR drops below 1.0, the property can't cover its own debt.</w:t>
      </w:r>
    </w:p>
    <w:p>
      <w:pPr>
        <w:spacing w:after="80" w:before="200"/>
      </w:pPr>
      <w:r>
        <w:rPr>
          <w:rFonts w:ascii="Arial" w:cs="Arial" w:eastAsia="Arial" w:hAnsi="Arial"/>
          <w:b/>
          <w:bCs/>
          <w:color w:val="0D1B2A"/>
          <w:sz w:val="21"/>
          <w:szCs w:val="21"/>
        </w:rPr>
        <w:t xml:space="preserve">Break Even Ratio</w:t>
      </w:r>
    </w:p>
    <w:p>
      <w:pPr>
        <w:spacing w:after="80" w:before="80"/>
      </w:pPr>
      <w:r>
        <w:rPr>
          <w:rFonts w:ascii="Arial" w:cs="Arial" w:eastAsia="Arial" w:hAnsi="Arial"/>
          <w:b w:val="false"/>
          <w:bCs w:val="false"/>
          <w:color w:val="333333"/>
          <w:sz w:val="20"/>
          <w:szCs w:val="20"/>
        </w:rPr>
        <w:t xml:space="preserve">(Operating Expenses + Debt Service) ÷ Gross Operating Income. Banks want to see this at 85% or below. If break even is above 85%, the property has little margin for error — vacancies or repairs could push it negative.</w:t>
      </w:r>
    </w:p>
    <w:p>
      <w:pPr>
        <w:spacing w:after="80" w:before="200"/>
      </w:pPr>
      <w:r>
        <w:rPr>
          <w:rFonts w:ascii="Arial" w:cs="Arial" w:eastAsia="Arial" w:hAnsi="Arial"/>
          <w:b/>
          <w:bCs/>
          <w:color w:val="0D1B2A"/>
          <w:sz w:val="21"/>
          <w:szCs w:val="21"/>
        </w:rPr>
        <w:t xml:space="preserve">Internal Rate of Return (IRR)</w:t>
      </w:r>
    </w:p>
    <w:p>
      <w:pPr>
        <w:spacing w:after="80" w:before="80"/>
      </w:pPr>
      <w:r>
        <w:rPr>
          <w:rFonts w:ascii="Arial" w:cs="Arial" w:eastAsia="Arial" w:hAnsi="Arial"/>
          <w:b w:val="false"/>
          <w:bCs w:val="false"/>
          <w:color w:val="333333"/>
          <w:sz w:val="20"/>
          <w:szCs w:val="20"/>
        </w:rPr>
        <w:t xml:space="preserve">The projected annualized return over your holding period, accounting for cash flows and net proceeds from sale. Calculated both before and after tax. Use the before-tax IRR when comparing deals with other investors; use the after-tax IRR for your own planning.</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DATA SOURCES FOR YOUR ANALYSIS</w:t>
      </w:r>
    </w:p>
    <w:p>
      <w:pPr>
        <w:pStyle w:val="ListParagraph"/>
        <w:numPr>
          <w:ilvl w:val="0"/>
          <w:numId w:val="2"/>
        </w:numPr>
        <w:spacing w:after="60" w:before="60"/>
      </w:pPr>
      <w:r>
        <w:rPr>
          <w:rFonts w:ascii="Arial" w:cs="Arial" w:eastAsia="Arial" w:hAnsi="Arial"/>
          <w:sz w:val="20"/>
          <w:szCs w:val="20"/>
        </w:rPr>
        <w:t xml:space="preserve">Listing agent — rent rolls, lease copies, occupancy history</w:t>
      </w:r>
    </w:p>
    <w:p>
      <w:pPr>
        <w:pStyle w:val="ListParagraph"/>
        <w:numPr>
          <w:ilvl w:val="0"/>
          <w:numId w:val="2"/>
        </w:numPr>
        <w:spacing w:after="60" w:before="60"/>
      </w:pPr>
      <w:r>
        <w:rPr>
          <w:rFonts w:ascii="Arial" w:cs="Arial" w:eastAsia="Arial" w:hAnsi="Arial"/>
          <w:sz w:val="20"/>
          <w:szCs w:val="20"/>
        </w:rPr>
        <w:t xml:space="preserve">Property tax records — assessed value, tax balance</w:t>
      </w:r>
    </w:p>
    <w:p>
      <w:pPr>
        <w:pStyle w:val="ListParagraph"/>
        <w:numPr>
          <w:ilvl w:val="0"/>
          <w:numId w:val="2"/>
        </w:numPr>
        <w:spacing w:after="60" w:before="60"/>
      </w:pPr>
      <w:r>
        <w:rPr>
          <w:rFonts w:ascii="Arial" w:cs="Arial" w:eastAsia="Arial" w:hAnsi="Arial"/>
          <w:sz w:val="20"/>
          <w:szCs w:val="20"/>
        </w:rPr>
        <w:t xml:space="preserve">Past utility bills — actual utility costs</w:t>
      </w:r>
    </w:p>
    <w:p>
      <w:pPr>
        <w:pStyle w:val="ListParagraph"/>
        <w:numPr>
          <w:ilvl w:val="0"/>
          <w:numId w:val="2"/>
        </w:numPr>
        <w:spacing w:after="60" w:before="60"/>
      </w:pPr>
      <w:r>
        <w:rPr>
          <w:rFonts w:ascii="Arial" w:cs="Arial" w:eastAsia="Arial" w:hAnsi="Arial"/>
          <w:sz w:val="20"/>
          <w:szCs w:val="20"/>
        </w:rPr>
        <w:t xml:space="preserve">Local property managers — vacancy rates, management fees, maintenance benchmarks</w:t>
      </w:r>
    </w:p>
    <w:p>
      <w:pPr>
        <w:pStyle w:val="ListParagraph"/>
        <w:numPr>
          <w:ilvl w:val="0"/>
          <w:numId w:val="2"/>
        </w:numPr>
        <w:spacing w:after="60" w:before="60"/>
      </w:pPr>
      <w:r>
        <w:rPr>
          <w:rFonts w:ascii="Arial" w:cs="Arial" w:eastAsia="Arial" w:hAnsi="Arial"/>
          <w:sz w:val="20"/>
          <w:szCs w:val="20"/>
        </w:rPr>
        <w:t xml:space="preserve">Comparable lease rates — what similar units rent for in the area</w:t>
      </w:r>
    </w:p>
    <w:p>
      <w:pPr>
        <w:pStyle w:val="ListParagraph"/>
        <w:numPr>
          <w:ilvl w:val="0"/>
          <w:numId w:val="2"/>
        </w:numPr>
        <w:spacing w:after="60" w:before="60"/>
      </w:pPr>
      <w:r>
        <w:rPr>
          <w:rFonts w:ascii="Arial" w:cs="Arial" w:eastAsia="Arial" w:hAnsi="Arial"/>
          <w:sz w:val="20"/>
          <w:szCs w:val="20"/>
        </w:rPr>
        <w:t xml:space="preserve">Comparable sales — to validate ARV and market cap rate</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Use the FORGE Deal Analyzer to run "what if" scenarios. Change the vacancy rate, appreciation assumption, or purchase price and see the impact immediately. Let the numbers tell you the story — not the seller.</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2026-06-13T23:12:56.328Z</dcterms:created>
  <dcterms:modified xsi:type="dcterms:W3CDTF">2026-06-13T23:12:56.328Z</dcterms:modified>
</cp:coreProperties>
</file>

<file path=docProps/custom.xml><?xml version="1.0" encoding="utf-8"?>
<Properties xmlns="http://schemas.openxmlformats.org/officeDocument/2006/custom-properties" xmlns:vt="http://schemas.openxmlformats.org/officeDocument/2006/docPropsVTypes"/>
</file>