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jc w:val="center"/>
      </w:pPr>
      <w:r>
        <w:rPr>
          <w:rFonts w:ascii="Arial" w:cs="Arial" w:eastAsia="Arial" w:hAnsi="Arial"/>
          <w:b/>
          <w:bCs/>
          <w:color w:val="0D1B2A"/>
          <w:sz w:val="26"/>
          <w:szCs w:val="26"/>
        </w:rPr>
        <w:t xml:space="preserve">CONTRACTS &amp; DISCLOSURES CHECKLIST</w:t>
      </w:r>
    </w:p>
    <w:p>
      <w:pPr>
        <w:spacing w:after="0" w:before="80"/>
      </w:pPr>
      <w:r>
        <w:t xml:space="preserve"/>
      </w:r>
    </w:p>
    <w:p>
      <w:pPr>
        <w:jc w:val="center"/>
      </w:pPr>
      <w:r>
        <w:rPr>
          <w:rFonts w:ascii="Arial" w:cs="Arial" w:eastAsia="Arial" w:hAnsi="Arial"/>
          <w:i/>
          <w:iCs/>
          <w:color w:val="6B7280"/>
          <w:sz w:val="18"/>
          <w:szCs w:val="18"/>
        </w:rPr>
        <w:t xml:space="preserve">Complete all required disclosures and contracts before escrow closes. Consult your attorney for jurisdiction-specific requirements.</w:t>
      </w:r>
    </w:p>
    <w:p>
      <w:pPr>
        <w:spacing w:after="0" w:before="160"/>
      </w:pPr>
      <w:r>
        <w:t xml:space="preserve"/>
      </w:r>
    </w:p>
    <w:p>
      <w:pPr>
        <w:spacing w:after="100" w:before="200"/>
      </w:pPr>
      <w:r>
        <w:rPr>
          <w:rFonts w:ascii="Arial" w:cs="Arial" w:eastAsia="Arial" w:hAnsi="Arial"/>
          <w:b/>
          <w:bCs/>
          <w:color w:val="0D1B2A"/>
          <w:sz w:val="22"/>
          <w:szCs w:val="22"/>
        </w:rPr>
        <w:t xml:space="preserve">Purchase Agreement</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Residential Listing Agreement (PRBS). </w:t>
      </w:r>
      <w:r>
        <w:rPr>
          <w:rFonts w:ascii="Arial" w:cs="Arial" w:eastAsia="Arial" w:hAnsi="Arial"/>
          <w:sz w:val="20"/>
          <w:szCs w:val="20"/>
        </w:rPr>
        <w:t xml:space="preserve">Must be signed before a Residential Listing Agreement or Buyer Agency Agreement is signed. (PRBS)</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Real Estate Transfer Disclosure Statement (TDS). </w:t>
      </w:r>
      <w:r>
        <w:rPr>
          <w:rFonts w:ascii="Arial" w:cs="Arial" w:eastAsia="Arial" w:hAnsi="Arial"/>
          <w:sz w:val="20"/>
          <w:szCs w:val="20"/>
        </w:rPr>
        <w:t xml:space="preserve">Mandatory for all transfers of residential properties 1–4 units. The seller fills out pages 1 &amp; 2 in their own writing, signs/dates pages 2 &amp; 3. All parties sign page 3 before escrow closes. (TDS)</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Agent Visual Inspection Disclosure (AVID). </w:t>
      </w:r>
      <w:r>
        <w:rPr>
          <w:rFonts w:ascii="Arial" w:cs="Arial" w:eastAsia="Arial" w:hAnsi="Arial"/>
          <w:sz w:val="20"/>
          <w:szCs w:val="20"/>
        </w:rPr>
        <w:t xml:space="preserve">An agent visual inspection disclosure must be filed out by both the listing and selling agents on residential transactions. (AVID)</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Seller Property Questionnaire (SPQ). </w:t>
      </w:r>
      <w:r>
        <w:rPr>
          <w:rFonts w:ascii="Arial" w:cs="Arial" w:eastAsia="Arial" w:hAnsi="Arial"/>
          <w:sz w:val="20"/>
          <w:szCs w:val="20"/>
        </w:rPr>
        <w:t xml:space="preserve">If the transaction is a Foreclosure REO, probate, or trust sale, the seller is exempt from signing the Real Estate Transfer Disclosure Statement. However, the listing agent must still provide the selling agent with the SPQ indicating exempt status. (SPQ)</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Statewide Buyer and Seller Advisory (SBSA). </w:t>
      </w:r>
      <w:r>
        <w:rPr>
          <w:rFonts w:ascii="Arial" w:cs="Arial" w:eastAsia="Arial" w:hAnsi="Arial"/>
          <w:sz w:val="20"/>
          <w:szCs w:val="20"/>
        </w:rPr>
        <w:t xml:space="preserve">This form covers most things that could go wrong with a real estate purchase and warns buyers to hire specialists. (SBSA)</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Market Conditions Advisory (MCA). </w:t>
      </w:r>
      <w:r>
        <w:rPr>
          <w:rFonts w:ascii="Arial" w:cs="Arial" w:eastAsia="Arial" w:hAnsi="Arial"/>
          <w:sz w:val="20"/>
          <w:szCs w:val="20"/>
        </w:rPr>
        <w:t xml:space="preserve">The Market Conditions Advisory discusses topics such as the loan, the appraisal, and home inspection and disclosure contingencies. It also discusses the current condition of the marketplace. (MCA)</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Consumer Information Acknowledgement. </w:t>
      </w:r>
      <w:r>
        <w:rPr>
          <w:rFonts w:ascii="Arial" w:cs="Arial" w:eastAsia="Arial" w:hAnsi="Arial"/>
          <w:sz w:val="20"/>
          <w:szCs w:val="20"/>
        </w:rPr>
        <w:t xml:space="preserve">Have the buyers sign the Consumer Information Acknowledgement form, which is generally attached or included with the Homeowners Combined Information Guide.</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Carbon Monoxide Detector Notice (CMD). </w:t>
      </w:r>
      <w:r>
        <w:rPr>
          <w:rFonts w:ascii="Arial" w:cs="Arial" w:eastAsia="Arial" w:hAnsi="Arial"/>
          <w:sz w:val="20"/>
          <w:szCs w:val="20"/>
        </w:rPr>
        <w:t xml:space="preserve">This disclosure is signed by both the seller and discusses the installation and laws of carbon monoxide detector installation and maintenance. (CMD)</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Lead-Based Paint Hazards Disclosure (FLD). </w:t>
      </w:r>
      <w:r>
        <w:rPr>
          <w:rFonts w:ascii="Arial" w:cs="Arial" w:eastAsia="Arial" w:hAnsi="Arial"/>
          <w:sz w:val="20"/>
          <w:szCs w:val="20"/>
        </w:rPr>
        <w:t xml:space="preserve">The Residential Lead-Based Paint Hazard Reduction Act of 1992 was passed by Congress to protect families. Required for homes built before 1978. (FLD)</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Water Heater and Smoke Detector Statement of Compliance (WHSD). </w:t>
      </w:r>
      <w:r>
        <w:rPr>
          <w:rFonts w:ascii="Arial" w:cs="Arial" w:eastAsia="Arial" w:hAnsi="Arial"/>
          <w:sz w:val="20"/>
          <w:szCs w:val="20"/>
        </w:rPr>
        <w:t xml:space="preserve">Every sales contract, lease, or rental agreement is required to include a statutorily defined notice regarding water heater safety measures including how they should be braced and anchored. (WHSD)</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Megan's Law Disclosure. </w:t>
      </w:r>
      <w:r>
        <w:rPr>
          <w:rFonts w:ascii="Arial" w:cs="Arial" w:eastAsia="Arial" w:hAnsi="Arial"/>
          <w:sz w:val="20"/>
          <w:szCs w:val="20"/>
        </w:rPr>
        <w:t xml:space="preserve">Every sales contract, lease, or rental agreement is required to include a statutorily defined notice regarding Megan's Law Data Base Disclosure. (MLD)</w:t>
      </w:r>
    </w:p>
    <w:p>
      <w:pPr>
        <w:spacing w:after="0" w:before="80"/>
      </w:pPr>
      <w:r>
        <w:t xml:space="preserve"/>
      </w:r>
    </w:p>
    <w:p>
      <w:pPr>
        <w:spacing w:after="100" w:before="200"/>
      </w:pPr>
      <w:r>
        <w:rPr>
          <w:rFonts w:ascii="Arial" w:cs="Arial" w:eastAsia="Arial" w:hAnsi="Arial"/>
          <w:b/>
          <w:bCs/>
          <w:color w:val="0D1B2A"/>
          <w:sz w:val="22"/>
          <w:szCs w:val="22"/>
        </w:rPr>
        <w:t xml:space="preserve">Financing &amp; Loan</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Loan Application Submitted. </w:t>
      </w:r>
      <w:r>
        <w:rPr>
          <w:rFonts w:ascii="Arial" w:cs="Arial" w:eastAsia="Arial" w:hAnsi="Arial"/>
          <w:sz w:val="20"/>
          <w:szCs w:val="20"/>
        </w:rPr>
        <w:t xml:space="preserve">Verify that buyer has submitted a complete loan application.</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Pre-Approval Letter on File. </w:t>
      </w:r>
      <w:r>
        <w:rPr>
          <w:rFonts w:ascii="Arial" w:cs="Arial" w:eastAsia="Arial" w:hAnsi="Arial"/>
          <w:sz w:val="20"/>
          <w:szCs w:val="20"/>
        </w:rPr>
        <w:t xml:space="preserve">Confirm current pre-approval letter is in the transaction file.</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Lender Contact Confirmed. </w:t>
      </w:r>
      <w:r>
        <w:rPr>
          <w:rFonts w:ascii="Arial" w:cs="Arial" w:eastAsia="Arial" w:hAnsi="Arial"/>
          <w:sz w:val="20"/>
          <w:szCs w:val="20"/>
        </w:rPr>
        <w:t xml:space="preserve">Verify lender contact information and loan timeline.</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Appraisal Ordered. </w:t>
      </w:r>
      <w:r>
        <w:rPr>
          <w:rFonts w:ascii="Arial" w:cs="Arial" w:eastAsia="Arial" w:hAnsi="Arial"/>
          <w:sz w:val="20"/>
          <w:szCs w:val="20"/>
        </w:rPr>
        <w:t xml:space="preserve">Confirm appraisal has been ordered and timeline confirmed.</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Loan Commitment Received. </w:t>
      </w:r>
      <w:r>
        <w:rPr>
          <w:rFonts w:ascii="Arial" w:cs="Arial" w:eastAsia="Arial" w:hAnsi="Arial"/>
          <w:sz w:val="20"/>
          <w:szCs w:val="20"/>
        </w:rPr>
        <w:t xml:space="preserve">Obtain written loan commitment from lender before contingency deadlines.</w:t>
      </w:r>
    </w:p>
    <w:p>
      <w:pPr>
        <w:spacing w:after="0" w:before="80"/>
      </w:pPr>
      <w:r>
        <w:t xml:space="preserve"/>
      </w:r>
    </w:p>
    <w:p>
      <w:pPr>
        <w:spacing w:after="100" w:before="200"/>
      </w:pPr>
      <w:r>
        <w:rPr>
          <w:rFonts w:ascii="Arial" w:cs="Arial" w:eastAsia="Arial" w:hAnsi="Arial"/>
          <w:b/>
          <w:bCs/>
          <w:color w:val="0D1B2A"/>
          <w:sz w:val="22"/>
          <w:szCs w:val="22"/>
        </w:rPr>
        <w:t xml:space="preserve">Title &amp; Escrow</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Title Search Ordered. </w:t>
      </w:r>
      <w:r>
        <w:rPr>
          <w:rFonts w:ascii="Arial" w:cs="Arial" w:eastAsia="Arial" w:hAnsi="Arial"/>
          <w:sz w:val="20"/>
          <w:szCs w:val="20"/>
        </w:rPr>
        <w:t xml:space="preserve">Order title search immediately upon contract execution.</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Title Report Reviewed. </w:t>
      </w:r>
      <w:r>
        <w:rPr>
          <w:rFonts w:ascii="Arial" w:cs="Arial" w:eastAsia="Arial" w:hAnsi="Arial"/>
          <w:sz w:val="20"/>
          <w:szCs w:val="20"/>
        </w:rPr>
        <w:t xml:space="preserve">Review title report for any liens, encumbrances, or clouds on title.</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Escrow Instructions Signed. </w:t>
      </w:r>
      <w:r>
        <w:rPr>
          <w:rFonts w:ascii="Arial" w:cs="Arial" w:eastAsia="Arial" w:hAnsi="Arial"/>
          <w:sz w:val="20"/>
          <w:szCs w:val="20"/>
        </w:rPr>
        <w:t xml:space="preserve">Confirm all parties have signed and returned escrow instructions.</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Title Insurance Ordered. </w:t>
      </w:r>
      <w:r>
        <w:rPr>
          <w:rFonts w:ascii="Arial" w:cs="Arial" w:eastAsia="Arial" w:hAnsi="Arial"/>
          <w:sz w:val="20"/>
          <w:szCs w:val="20"/>
        </w:rPr>
        <w:t xml:space="preserve">Both lender and owner title insurance policies ordered.</w:t>
      </w:r>
    </w:p>
    <w:p>
      <w:pPr>
        <w:spacing w:after="80" w:before="80"/>
        <w:ind w:left="360"/>
      </w:pPr>
      <w:r>
        <w:rPr>
          <w:rFonts w:ascii="Arial" w:cs="Arial" w:eastAsia="Arial" w:hAnsi="Arial"/>
          <w:sz w:val="20"/>
          <w:szCs w:val="20"/>
        </w:rPr>
        <w:t xml:space="preserve">☐  </w:t>
      </w:r>
      <w:r>
        <w:rPr>
          <w:rFonts w:ascii="Arial" w:cs="Arial" w:eastAsia="Arial" w:hAnsi="Arial"/>
          <w:b/>
          <w:bCs/>
          <w:sz w:val="20"/>
          <w:szCs w:val="20"/>
        </w:rPr>
        <w:t xml:space="preserve">Payoffs Requested. </w:t>
      </w:r>
      <w:r>
        <w:rPr>
          <w:rFonts w:ascii="Arial" w:cs="Arial" w:eastAsia="Arial" w:hAnsi="Arial"/>
          <w:sz w:val="20"/>
          <w:szCs w:val="20"/>
        </w:rPr>
        <w:t xml:space="preserve">All existing mortgage and lien payoff statements requested.</w:t>
      </w:r>
    </w:p>
    <w:p>
      <w:pPr>
        <w:spacing w:after="0" w:before="80"/>
      </w:pPr>
      <w:r>
        <w:t xml:space="preserve"/>
      </w:r>
    </w:p>
    <w:p>
      <w:r>
        <w:rPr>
          <w:rFonts w:ascii="Arial" w:cs="Arial" w:eastAsia="Arial" w:hAnsi="Arial"/>
          <w:i/>
          <w:iCs/>
          <w:color w:val="6B7280"/>
          <w:sz w:val="16"/>
          <w:szCs w:val="16"/>
        </w:rPr>
        <w:t xml:space="preserve">DISCLAIMER: This checklist is provided for educational and reference purposes only. Disclosure requirements vary by state and transaction type. [YOUR COMPANY] makes no representations regarding legal sufficiency. Consult a qualified real estate attorney.</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6" w:space="4"/>
      </w:pBdr>
      <w:jc w:val="center"/>
    </w:pPr>
    <w:r>
      <w:rPr>
        <w:rFonts w:ascii="Arial" w:cs="Arial" w:eastAsia="Arial" w:hAnsi="Arial"/>
        <w:color w:val="6B7280"/>
        <w:sz w:val="16"/>
        <w:szCs w:val="16"/>
      </w:rPr>
      <w:t xml:space="preserve">FORGE | Powered by ARIS | ForgedByAris.com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none"/>
        <w:insideV w:val="none"/>
      </w:tblBorders>
    </w:tblPr>
    <w:tblGrid>
      <w:gridCol w:w="2000"/>
      <w:gridCol w:w="8080"/>
    </w:tblGrid>
    <w:tr>
      <w:tc>
        <w:tcPr>
          <w:tcW w:type="dxa" w:w="2000"/>
          <w:shd w:fill="0D1B2A" w:val="clear"/>
          <w:tcMar>
            <w:top w:type="dxa" w:w="80"/>
            <w:left w:type="dxa" w:w="120"/>
            <w:bottom w:type="dxa" w:w="80"/>
            <w:right w:type="dxa" w:w="120"/>
          </w:tcMar>
          <w:vAlign w:val="center"/>
        </w:tcPr>
        <w:p>
          <w:pPr>
            <w:jc w:val="left"/>
          </w:pPr>
          <w:r>
            <w:rPr>
              <w:rFonts w:ascii="Arial" w:cs="Arial" w:eastAsia="Arial" w:hAnsi="Arial"/>
              <w:b/>
              <w:bCs/>
              <w:color w:val="FFFFFF"/>
              <w:sz w:val="28"/>
              <w:szCs w:val="28"/>
            </w:rPr>
            <w:t xml:space="preserve">FORGE</w:t>
          </w:r>
          <w:r>
            <w:rPr>
              <w:rFonts w:ascii="Arial" w:cs="Arial" w:eastAsia="Arial" w:hAnsi="Arial"/>
              <w:color w:val="C89B3C"/>
              <w:sz w:val="18"/>
              <w:szCs w:val="18"/>
            </w:rPr>
            <w:br/>
            <w:t xml:space="preserve">
Contracts &amp; Disclosures Checklist</w:t>
          </w:r>
        </w:p>
      </w:tc>
      <w:tc>
        <w:tcPr>
          <w:tcW w:type="dxa" w:w="8080"/>
          <w:shd w:fill="0D1B2A" w:val="clear"/>
          <w:tcMar>
            <w:top w:type="dxa" w:w="80"/>
            <w:left w:type="dxa" w:w="120"/>
            <w:bottom w:type="dxa" w:w="80"/>
            <w:right w:type="dxa" w:w="120"/>
          </w:tcMar>
          <w:vAlign w:val="center"/>
        </w:tcPr>
        <w:p>
          <w:pPr>
            <w:jc w:val="right"/>
          </w:pPr>
          <w:r>
            <w:rPr>
              <w:rFonts w:ascii="Arial" w:cs="Arial" w:eastAsia="Arial" w:hAnsi="Arial"/>
              <w:i/>
              <w:iCs/>
              <w:color w:val="C89B3C"/>
              <w:sz w:val="20"/>
              <w:szCs w:val="20"/>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2026-06-21T17:08:43.238Z</dcterms:created>
  <dcterms:modified xsi:type="dcterms:W3CDTF">2026-06-21T17:08:43.238Z</dcterms:modified>
</cp:coreProperties>
</file>

<file path=docProps/custom.xml><?xml version="1.0" encoding="utf-8"?>
<Properties xmlns="http://schemas.openxmlformats.org/officeDocument/2006/custom-properties" xmlns:vt="http://schemas.openxmlformats.org/officeDocument/2006/docPropsVTypes"/>
</file>