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CONTRACTS &amp; DISCLOSURES — QUICK REFERENCE</w:t>
      </w:r>
    </w:p>
    <w:p>
      <w:pPr>
        <w:spacing w:after="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Fast-reference checklist for use at the transaction table.</w:t>
      </w:r>
    </w:p>
    <w:p>
      <w:pPr>
        <w:spacing w:after="0" w:before="1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80"/>
        <w:gridCol w:w="5000"/>
      </w:tblGrid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  Purchase Agreement / Offer to Purchase</w:t>
            </w:r>
          </w:p>
        </w:tc>
        <w:tc>
          <w:tcPr>
            <w:tcW w:type="dxa" w:w="28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  Real Estate Transfer Disclosure Statement (TDS)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  Agent Visual Inspection Disclosure (AVID)</w:t>
            </w:r>
          </w:p>
        </w:tc>
        <w:tc>
          <w:tcPr>
            <w:tcW w:type="dxa" w:w="28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  Seller Property Questionnaire (SPQ)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  Statewide Buyer and Seller Advisory (SBSA)</w:t>
            </w:r>
          </w:p>
        </w:tc>
        <w:tc>
          <w:tcPr>
            <w:tcW w:type="dxa" w:w="28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  Market Conditions Advisory (MCA)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  Consumer Information Acknowledgement</w:t>
            </w:r>
          </w:p>
        </w:tc>
        <w:tc>
          <w:tcPr>
            <w:tcW w:type="dxa" w:w="28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  Carbon Monoxide Detector Notice (CMD)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  Lead-Based Paint Hazards Disclosure (FLD)</w:t>
            </w:r>
          </w:p>
        </w:tc>
        <w:tc>
          <w:tcPr>
            <w:tcW w:type="dxa" w:w="28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  Water Heater and Smoke Detector Compliance (WHSD)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  Megan's Law Disclosure (MLD)</w:t>
            </w:r>
          </w:p>
        </w:tc>
        <w:tc>
          <w:tcPr>
            <w:tcW w:type="dxa" w:w="28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  Loan Application Submitted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  Pre-Approval Letter on File</w:t>
            </w:r>
          </w:p>
        </w:tc>
        <w:tc>
          <w:tcPr>
            <w:tcW w:type="dxa" w:w="28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  Appraisal Ordered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  Loan Commitment Received</w:t>
            </w:r>
          </w:p>
        </w:tc>
        <w:tc>
          <w:tcPr>
            <w:tcW w:type="dxa" w:w="28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  Title Search Ordered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  Title Report Reviewed</w:t>
            </w:r>
          </w:p>
        </w:tc>
        <w:tc>
          <w:tcPr>
            <w:tcW w:type="dxa" w:w="28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  Escrow Instructions Signed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  Title Insurance Ordered</w:t>
            </w:r>
          </w:p>
        </w:tc>
        <w:tc>
          <w:tcPr>
            <w:tcW w:type="dxa" w:w="28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  All Payoffs Requested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  Earnest Money Deposited</w:t>
            </w:r>
          </w:p>
        </w:tc>
        <w:tc>
          <w:tcPr>
            <w:tcW w:type="dxa" w:w="28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  Inspection Contingency Resolved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  Final Walkthrough Scheduled</w:t>
            </w:r>
          </w:p>
        </w:tc>
        <w:tc>
          <w:tcPr>
            <w:tcW w:type="dxa" w:w="28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  Closing Disclosure Reviewed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  Funds Confirmed for Closing</w:t>
            </w:r>
          </w:p>
        </w:tc>
        <w:tc>
          <w:tcPr>
            <w:tcW w:type="dxa" w:w="28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60"/>
      </w:pPr>
      <w:r>
        <w:t xml:space="preserve"/>
      </w:r>
    </w:p>
    <w:p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DISCLAIMER: Requirements vary by state and transaction type. [YOUR COMPANY] makes no representations regarding legal sufficiency. Consult a qualified real estate attorney.</w:t>
      </w:r>
    </w:p>
    <w:sectPr>
      <w:headerReference w:type="default" r:id="rId7"/>
      <w:footerReference w:type="default" r:id="rId8"/>
      <w:pgSz w:w="12240" w:h="15840" w:orient="portrait"/>
      <w:pgMar w:top="72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9B3C" w:sz="6" w:space="4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FORGE | Powered by ARIS | ForgedByAris.com    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none"/>
        <w:left w:val="none"/>
        <w:bottom w:val="single" w:color="C89B3C" w:sz="6"/>
        <w:right w:val="none"/>
        <w:insideH w:val="none"/>
        <w:insideV w:val="none"/>
      </w:tblBorders>
    </w:tblPr>
    <w:tblGrid>
      <w:gridCol w:w="2000"/>
      <w:gridCol w:w="8080"/>
    </w:tblGrid>
    <w:tr>
      <w:tc>
        <w:tcPr>
          <w:tcW w:type="dxa" w:w="2000"/>
          <w:shd w:fill="0D1B2A" w:val="clear"/>
          <w:tcMar>
            <w:top w:type="dxa" w:w="80"/>
            <w:left w:type="dxa" w:w="120"/>
            <w:bottom w:type="dxa" w:w="80"/>
            <w:right w:type="dxa" w:w="120"/>
          </w:tcMar>
          <w:vAlign w:val="center"/>
        </w:tcPr>
        <w:p>
          <w:pPr>
            <w:jc w:val="left"/>
          </w:pPr>
          <w:r>
            <w:rPr>
              <w:rFonts w:ascii="Arial" w:cs="Arial" w:eastAsia="Arial" w:hAnsi="Arial"/>
              <w:b/>
              <w:bCs/>
              <w:color w:val="FFFFFF"/>
              <w:sz w:val="28"/>
              <w:szCs w:val="28"/>
            </w:rPr>
            <w:t xml:space="preserve">FORGE</w:t>
          </w:r>
          <w:r>
            <w:rPr>
              <w:rFonts w:ascii="Arial" w:cs="Arial" w:eastAsia="Arial" w:hAnsi="Arial"/>
              <w:color w:val="C89B3C"/>
              <w:sz w:val="18"/>
              <w:szCs w:val="18"/>
            </w:rPr>
            <w:br/>
            <w:t xml:space="preserve">
Contracts &amp; Disclosures — Quick Reference</w:t>
          </w:r>
        </w:p>
      </w:tc>
      <w:tc>
        <w:tcPr>
          <w:tcW w:type="dxa" w:w="8080"/>
          <w:shd w:fill="0D1B2A" w:val="clear"/>
          <w:tcMar>
            <w:top w:type="dxa" w:w="80"/>
            <w:left w:type="dxa" w:w="120"/>
            <w:bottom w:type="dxa" w:w="80"/>
            <w:right w:type="dxa" w:w="12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i/>
              <w:iCs/>
              <w:color w:val="C89B3C"/>
              <w:sz w:val="20"/>
              <w:szCs w:val="20"/>
            </w:rPr>
            <w:t xml:space="preserve">Powered by ARIS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2026-06-21T17:08:43.280Z</dcterms:created>
  <dcterms:modified xsi:type="dcterms:W3CDTF">2026-06-21T17:08:43.280Z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