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200"/>
        <w:jc w:val="center"/>
      </w:pPr>
      <w:r>
        <w:rPr>
          <w:rFonts w:ascii="Arial" w:cs="Arial" w:eastAsia="Arial" w:hAnsi="Arial"/>
          <w:b/>
          <w:bCs/>
          <w:color w:val="0D1B2A"/>
          <w:sz w:val="32"/>
          <w:szCs w:val="32"/>
        </w:rPr>
        <w:t xml:space="preserve">Clues to Market Conditions Chart</w:t>
      </w:r>
    </w:p>
    <w:p>
      <w:pPr>
        <w:spacing w:after="300"/>
        <w:jc w:val="center"/>
      </w:pPr>
      <w:r>
        <w:rPr>
          <w:rFonts w:ascii="Arial" w:cs="Arial" w:eastAsia="Arial" w:hAnsi="Arial"/>
          <w:color w:val="C89B3C"/>
          <w:sz w:val="22"/>
          <w:szCs w:val="22"/>
        </w:rPr>
        <w:t xml:space="preserve">A FORGE Reference Tool | Powered by ARIS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shd w:fill="0D1B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Months of Inventory</w:t>
            </w:r>
          </w:p>
        </w:tc>
        <w:tc>
          <w:tcPr>
            <w:shd w:fill="0D1B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Market Temp</w:t>
            </w:r>
          </w:p>
        </w:tc>
        <w:tc>
          <w:tcPr>
            <w:shd w:fill="0D1B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Market Condition</w:t>
            </w:r>
          </w:p>
        </w:tc>
        <w:tc>
          <w:tcPr>
            <w:shd w:fill="0D1B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Annual Price Change</w:t>
            </w:r>
          </w:p>
        </w:tc>
      </w:tr>
      <w:tr>
        <w:tc>
          <w:tcPr>
            <w:tcMar>
              <w:top w:type="dxa" w:w="100"/>
              <w:left w:type="dxa" w:w="120"/>
              <w:bottom w:type="dxa" w:w="100"/>
              <w:right w:type="dxa" w:w="120"/>
            </w:tcMar>
          </w:tcPr>
          <w:p>
            <w:pPr>
              <w:jc w:val="center"/>
            </w:pPr>
            <w:r>
              <w:rPr>
                <w:rFonts w:ascii="Arial" w:cs="Arial" w:eastAsia="Arial" w:hAnsi="Arial"/>
                <w:b/>
                <w:bCs/>
                <w:sz w:val="22"/>
                <w:szCs w:val="22"/>
              </w:rPr>
              <w:t xml:space="preserve">0 to 1 Month</w:t>
            </w:r>
          </w:p>
        </w:tc>
        <w:tc>
          <w:tcPr>
            <w:tcMar>
              <w:top w:type="dxa" w:w="100"/>
              <w:left w:type="dxa" w:w="120"/>
              <w:bottom w:type="dxa" w:w="100"/>
              <w:right w:type="dxa" w:w="120"/>
            </w:tcMar>
          </w:tcPr>
          <w:p>
            <w:pPr>
              <w:jc w:val="center"/>
            </w:pPr>
            <w:r>
              <w:rPr>
                <w:rFonts w:ascii="Arial" w:cs="Arial" w:eastAsia="Arial" w:hAnsi="Arial"/>
                <w:sz w:val="22"/>
                <w:szCs w:val="22"/>
              </w:rPr>
              <w:t xml:space="preserve">🔴 HOT</w:t>
            </w:r>
          </w:p>
        </w:tc>
        <w:tc>
          <w:tcPr>
            <w:tcMar>
              <w:top w:type="dxa" w:w="100"/>
              <w:left w:type="dxa" w:w="120"/>
              <w:bottom w:type="dxa" w:w="100"/>
              <w:right w:type="dxa" w:w="120"/>
            </w:tcMar>
          </w:tcPr>
          <w:p>
            <w:pPr>
              <w:jc w:val="center"/>
            </w:pPr>
            <w:r>
              <w:rPr>
                <w:rFonts w:ascii="Arial" w:cs="Arial" w:eastAsia="Arial" w:hAnsi="Arial"/>
                <w:sz w:val="22"/>
                <w:szCs w:val="22"/>
              </w:rPr>
              <w:t xml:space="preserve">Seller's Market!</w:t>
            </w:r>
          </w:p>
        </w:tc>
        <w:tc>
          <w:tcPr>
            <w:tcMar>
              <w:top w:type="dxa" w:w="100"/>
              <w:left w:type="dxa" w:w="120"/>
              <w:bottom w:type="dxa" w:w="100"/>
              <w:right w:type="dxa" w:w="120"/>
            </w:tcMar>
          </w:tcPr>
          <w:p>
            <w:pPr>
              <w:jc w:val="center"/>
            </w:pPr>
            <w:r>
              <w:rPr>
                <w:rFonts w:ascii="Arial" w:cs="Arial" w:eastAsia="Arial" w:hAnsi="Arial"/>
                <w:sz w:val="22"/>
                <w:szCs w:val="22"/>
              </w:rPr>
              <w:t xml:space="preserve">Up 8–18% annually</w:t>
            </w:r>
          </w:p>
        </w:tc>
      </w:tr>
      <w:tr>
        <w:tc>
          <w:tcPr>
            <w:tcMar>
              <w:top w:type="dxa" w:w="100"/>
              <w:left w:type="dxa" w:w="120"/>
              <w:bottom w:type="dxa" w:w="100"/>
              <w:right w:type="dxa" w:w="120"/>
            </w:tcMar>
          </w:tcPr>
          <w:p>
            <w:pPr>
              <w:jc w:val="center"/>
            </w:pPr>
            <w:r>
              <w:rPr>
                <w:rFonts w:ascii="Arial" w:cs="Arial" w:eastAsia="Arial" w:hAnsi="Arial"/>
                <w:b/>
                <w:bCs/>
                <w:sz w:val="22"/>
                <w:szCs w:val="22"/>
              </w:rPr>
              <w:t xml:space="preserve">1 to 3 Months</w:t>
            </w:r>
          </w:p>
        </w:tc>
        <w:tc>
          <w:tcPr>
            <w:tcMar>
              <w:top w:type="dxa" w:w="100"/>
              <w:left w:type="dxa" w:w="120"/>
              <w:bottom w:type="dxa" w:w="100"/>
              <w:right w:type="dxa" w:w="120"/>
            </w:tcMar>
          </w:tcPr>
          <w:p>
            <w:pPr>
              <w:jc w:val="center"/>
            </w:pPr>
            <w:r>
              <w:rPr>
                <w:rFonts w:ascii="Arial" w:cs="Arial" w:eastAsia="Arial" w:hAnsi="Arial"/>
                <w:sz w:val="22"/>
                <w:szCs w:val="22"/>
              </w:rPr>
              <w:t xml:space="preserve">🟠 Warm</w:t>
            </w:r>
          </w:p>
        </w:tc>
        <w:tc>
          <w:tcPr>
            <w:tcMar>
              <w:top w:type="dxa" w:w="100"/>
              <w:left w:type="dxa" w:w="120"/>
              <w:bottom w:type="dxa" w:w="100"/>
              <w:right w:type="dxa" w:w="120"/>
            </w:tcMar>
          </w:tcPr>
          <w:p>
            <w:pPr>
              <w:jc w:val="center"/>
            </w:pPr>
            <w:r>
              <w:rPr>
                <w:rFonts w:ascii="Arial" w:cs="Arial" w:eastAsia="Arial" w:hAnsi="Arial"/>
                <w:sz w:val="22"/>
                <w:szCs w:val="22"/>
              </w:rPr>
              <w:t xml:space="preserve">Seller's Market</w:t>
            </w:r>
          </w:p>
        </w:tc>
        <w:tc>
          <w:tcPr>
            <w:tcMar>
              <w:top w:type="dxa" w:w="100"/>
              <w:left w:type="dxa" w:w="120"/>
              <w:bottom w:type="dxa" w:w="100"/>
              <w:right w:type="dxa" w:w="120"/>
            </w:tcMar>
          </w:tcPr>
          <w:p>
            <w:pPr>
              <w:jc w:val="center"/>
            </w:pPr>
            <w:r>
              <w:rPr>
                <w:rFonts w:ascii="Arial" w:cs="Arial" w:eastAsia="Arial" w:hAnsi="Arial"/>
                <w:sz w:val="22"/>
                <w:szCs w:val="22"/>
              </w:rPr>
              <w:t xml:space="preserve">Up 4–12% annually</w:t>
            </w:r>
          </w:p>
        </w:tc>
      </w:tr>
      <w:tr>
        <w:tc>
          <w:tcPr>
            <w:tcMar>
              <w:top w:type="dxa" w:w="100"/>
              <w:left w:type="dxa" w:w="120"/>
              <w:bottom w:type="dxa" w:w="100"/>
              <w:right w:type="dxa" w:w="120"/>
            </w:tcMar>
          </w:tcPr>
          <w:p>
            <w:pPr>
              <w:jc w:val="center"/>
            </w:pPr>
            <w:r>
              <w:rPr>
                <w:rFonts w:ascii="Arial" w:cs="Arial" w:eastAsia="Arial" w:hAnsi="Arial"/>
                <w:b/>
                <w:bCs/>
                <w:sz w:val="22"/>
                <w:szCs w:val="22"/>
              </w:rPr>
              <w:t xml:space="preserve">4 to 6 Months</w:t>
            </w:r>
          </w:p>
        </w:tc>
        <w:tc>
          <w:tcPr>
            <w:tcMar>
              <w:top w:type="dxa" w:w="100"/>
              <w:left w:type="dxa" w:w="120"/>
              <w:bottom w:type="dxa" w:w="100"/>
              <w:right w:type="dxa" w:w="120"/>
            </w:tcMar>
          </w:tcPr>
          <w:p>
            <w:pPr>
              <w:jc w:val="center"/>
            </w:pPr>
            <w:r>
              <w:rPr>
                <w:rFonts w:ascii="Arial" w:cs="Arial" w:eastAsia="Arial" w:hAnsi="Arial"/>
                <w:sz w:val="22"/>
                <w:szCs w:val="22"/>
              </w:rPr>
              <w:t xml:space="preserve">🟡 Neutral</w:t>
            </w:r>
          </w:p>
        </w:tc>
        <w:tc>
          <w:tcPr>
            <w:tcMar>
              <w:top w:type="dxa" w:w="100"/>
              <w:left w:type="dxa" w:w="120"/>
              <w:bottom w:type="dxa" w:w="100"/>
              <w:right w:type="dxa" w:w="120"/>
            </w:tcMar>
          </w:tcPr>
          <w:p>
            <w:pPr>
              <w:jc w:val="center"/>
            </w:pPr>
            <w:r>
              <w:rPr>
                <w:rFonts w:ascii="Arial" w:cs="Arial" w:eastAsia="Arial" w:hAnsi="Arial"/>
                <w:sz w:val="22"/>
                <w:szCs w:val="22"/>
              </w:rPr>
              <w:t xml:space="preserve">Balanced Market</w:t>
            </w:r>
          </w:p>
        </w:tc>
        <w:tc>
          <w:tcPr>
            <w:tcMar>
              <w:top w:type="dxa" w:w="100"/>
              <w:left w:type="dxa" w:w="120"/>
              <w:bottom w:type="dxa" w:w="100"/>
              <w:right w:type="dxa" w:w="120"/>
            </w:tcMar>
          </w:tcPr>
          <w:p>
            <w:pPr>
              <w:jc w:val="center"/>
            </w:pPr>
            <w:r>
              <w:rPr>
                <w:rFonts w:ascii="Arial" w:cs="Arial" w:eastAsia="Arial" w:hAnsi="Arial"/>
                <w:sz w:val="22"/>
                <w:szCs w:val="22"/>
              </w:rPr>
              <w:t xml:space="preserve">Up 0–4% annually</w:t>
            </w:r>
          </w:p>
        </w:tc>
      </w:tr>
      <w:tr>
        <w:tc>
          <w:tcPr>
            <w:tcMar>
              <w:top w:type="dxa" w:w="100"/>
              <w:left w:type="dxa" w:w="120"/>
              <w:bottom w:type="dxa" w:w="100"/>
              <w:right w:type="dxa" w:w="120"/>
            </w:tcMar>
          </w:tcPr>
          <w:p>
            <w:pPr>
              <w:jc w:val="center"/>
            </w:pPr>
            <w:r>
              <w:rPr>
                <w:rFonts w:ascii="Arial" w:cs="Arial" w:eastAsia="Arial" w:hAnsi="Arial"/>
                <w:b/>
                <w:bCs/>
                <w:sz w:val="22"/>
                <w:szCs w:val="22"/>
              </w:rPr>
              <w:t xml:space="preserve">7 to 9 Months</w:t>
            </w:r>
          </w:p>
        </w:tc>
        <w:tc>
          <w:tcPr>
            <w:tcMar>
              <w:top w:type="dxa" w:w="100"/>
              <w:left w:type="dxa" w:w="120"/>
              <w:bottom w:type="dxa" w:w="100"/>
              <w:right w:type="dxa" w:w="120"/>
            </w:tcMar>
          </w:tcPr>
          <w:p>
            <w:pPr>
              <w:jc w:val="center"/>
            </w:pPr>
            <w:r>
              <w:rPr>
                <w:rFonts w:ascii="Arial" w:cs="Arial" w:eastAsia="Arial" w:hAnsi="Arial"/>
                <w:sz w:val="22"/>
                <w:szCs w:val="22"/>
              </w:rPr>
              <w:t xml:space="preserve">🔵 Cool</w:t>
            </w:r>
          </w:p>
        </w:tc>
        <w:tc>
          <w:tcPr>
            <w:tcMar>
              <w:top w:type="dxa" w:w="100"/>
              <w:left w:type="dxa" w:w="120"/>
              <w:bottom w:type="dxa" w:w="100"/>
              <w:right w:type="dxa" w:w="120"/>
            </w:tcMar>
          </w:tcPr>
          <w:p>
            <w:pPr>
              <w:jc w:val="center"/>
            </w:pPr>
            <w:r>
              <w:rPr>
                <w:rFonts w:ascii="Arial" w:cs="Arial" w:eastAsia="Arial" w:hAnsi="Arial"/>
                <w:sz w:val="22"/>
                <w:szCs w:val="22"/>
              </w:rPr>
              <w:t xml:space="preserve">Buyer's Market</w:t>
            </w:r>
          </w:p>
        </w:tc>
        <w:tc>
          <w:tcPr>
            <w:tcMar>
              <w:top w:type="dxa" w:w="100"/>
              <w:left w:type="dxa" w:w="120"/>
              <w:bottom w:type="dxa" w:w="100"/>
              <w:right w:type="dxa" w:w="120"/>
            </w:tcMar>
          </w:tcPr>
          <w:p>
            <w:pPr>
              <w:jc w:val="center"/>
            </w:pPr>
            <w:r>
              <w:rPr>
                <w:rFonts w:ascii="Arial" w:cs="Arial" w:eastAsia="Arial" w:hAnsi="Arial"/>
                <w:sz w:val="22"/>
                <w:szCs w:val="22"/>
              </w:rPr>
              <w:t xml:space="preserve">Down 0–4% annually</w:t>
            </w:r>
          </w:p>
        </w:tc>
      </w:tr>
      <w:tr>
        <w:tc>
          <w:tcPr>
            <w:tcMar>
              <w:top w:type="dxa" w:w="100"/>
              <w:left w:type="dxa" w:w="120"/>
              <w:bottom w:type="dxa" w:w="100"/>
              <w:right w:type="dxa" w:w="120"/>
            </w:tcMar>
          </w:tcPr>
          <w:p>
            <w:pPr>
              <w:jc w:val="center"/>
            </w:pPr>
            <w:r>
              <w:rPr>
                <w:rFonts w:ascii="Arial" w:cs="Arial" w:eastAsia="Arial" w:hAnsi="Arial"/>
                <w:b/>
                <w:bCs/>
                <w:sz w:val="22"/>
                <w:szCs w:val="22"/>
              </w:rPr>
              <w:t xml:space="preserve">10 to 12 Months</w:t>
            </w:r>
          </w:p>
        </w:tc>
        <w:tc>
          <w:tcPr>
            <w:tcMar>
              <w:top w:type="dxa" w:w="100"/>
              <w:left w:type="dxa" w:w="120"/>
              <w:bottom w:type="dxa" w:w="100"/>
              <w:right w:type="dxa" w:w="120"/>
            </w:tcMar>
          </w:tcPr>
          <w:p>
            <w:pPr>
              <w:jc w:val="center"/>
            </w:pPr>
            <w:r>
              <w:rPr>
                <w:rFonts w:ascii="Arial" w:cs="Arial" w:eastAsia="Arial" w:hAnsi="Arial"/>
                <w:sz w:val="22"/>
                <w:szCs w:val="22"/>
              </w:rPr>
              <w:t xml:space="preserve">🟣 Cold</w:t>
            </w:r>
          </w:p>
        </w:tc>
        <w:tc>
          <w:tcPr>
            <w:tcMar>
              <w:top w:type="dxa" w:w="100"/>
              <w:left w:type="dxa" w:w="120"/>
              <w:bottom w:type="dxa" w:w="100"/>
              <w:right w:type="dxa" w:w="120"/>
            </w:tcMar>
          </w:tcPr>
          <w:p>
            <w:pPr>
              <w:jc w:val="center"/>
            </w:pPr>
            <w:r>
              <w:rPr>
                <w:rFonts w:ascii="Arial" w:cs="Arial" w:eastAsia="Arial" w:hAnsi="Arial"/>
                <w:sz w:val="22"/>
                <w:szCs w:val="22"/>
              </w:rPr>
              <w:t xml:space="preserve">Buyer's Market!</w:t>
            </w:r>
          </w:p>
        </w:tc>
        <w:tc>
          <w:tcPr>
            <w:tcMar>
              <w:top w:type="dxa" w:w="100"/>
              <w:left w:type="dxa" w:w="120"/>
              <w:bottom w:type="dxa" w:w="100"/>
              <w:right w:type="dxa" w:w="120"/>
            </w:tcMar>
          </w:tcPr>
          <w:p>
            <w:pPr>
              <w:jc w:val="center"/>
            </w:pPr>
            <w:r>
              <w:rPr>
                <w:rFonts w:ascii="Arial" w:cs="Arial" w:eastAsia="Arial" w:hAnsi="Arial"/>
                <w:sz w:val="22"/>
                <w:szCs w:val="22"/>
              </w:rPr>
              <w:t xml:space="preserve">Down 4–12% annually</w:t>
            </w:r>
          </w:p>
        </w:tc>
      </w:tr>
      <w:tr>
        <w:tc>
          <w:tcPr>
            <w:tcMar>
              <w:top w:type="dxa" w:w="100"/>
              <w:left w:type="dxa" w:w="120"/>
              <w:bottom w:type="dxa" w:w="100"/>
              <w:right w:type="dxa" w:w="120"/>
            </w:tcMar>
          </w:tcPr>
          <w:p>
            <w:pPr>
              <w:jc w:val="center"/>
            </w:pPr>
            <w:r>
              <w:rPr>
                <w:rFonts w:ascii="Arial" w:cs="Arial" w:eastAsia="Arial" w:hAnsi="Arial"/>
                <w:b/>
                <w:bCs/>
                <w:sz w:val="22"/>
                <w:szCs w:val="22"/>
              </w:rPr>
              <w:t xml:space="preserve">12+ Months</w:t>
            </w:r>
          </w:p>
        </w:tc>
        <w:tc>
          <w:tcPr>
            <w:tcMar>
              <w:top w:type="dxa" w:w="100"/>
              <w:left w:type="dxa" w:w="120"/>
              <w:bottom w:type="dxa" w:w="100"/>
              <w:right w:type="dxa" w:w="120"/>
            </w:tcMar>
          </w:tcPr>
          <w:p>
            <w:pPr>
              <w:jc w:val="center"/>
            </w:pPr>
            <w:r>
              <w:rPr>
                <w:rFonts w:ascii="Arial" w:cs="Arial" w:eastAsia="Arial" w:hAnsi="Arial"/>
                <w:sz w:val="22"/>
                <w:szCs w:val="22"/>
              </w:rPr>
              <w:t xml:space="preserve">⚫ Bleak</w:t>
            </w:r>
          </w:p>
        </w:tc>
        <w:tc>
          <w:tcPr>
            <w:tcMar>
              <w:top w:type="dxa" w:w="100"/>
              <w:left w:type="dxa" w:w="120"/>
              <w:bottom w:type="dxa" w:w="100"/>
              <w:right w:type="dxa" w:w="120"/>
            </w:tcMar>
          </w:tcPr>
          <w:p>
            <w:pPr>
              <w:jc w:val="center"/>
            </w:pPr>
            <w:r>
              <w:rPr>
                <w:rFonts w:ascii="Arial" w:cs="Arial" w:eastAsia="Arial" w:hAnsi="Arial"/>
                <w:sz w:val="22"/>
                <w:szCs w:val="22"/>
              </w:rPr>
              <w:t xml:space="preserve">Depressed Market</w:t>
            </w:r>
          </w:p>
        </w:tc>
        <w:tc>
          <w:tcPr>
            <w:tcMar>
              <w:top w:type="dxa" w:w="100"/>
              <w:left w:type="dxa" w:w="120"/>
              <w:bottom w:type="dxa" w:w="100"/>
              <w:right w:type="dxa" w:w="120"/>
            </w:tcMar>
          </w:tcPr>
          <w:p>
            <w:pPr>
              <w:jc w:val="center"/>
            </w:pPr>
            <w:r>
              <w:rPr>
                <w:rFonts w:ascii="Arial" w:cs="Arial" w:eastAsia="Arial" w:hAnsi="Arial"/>
                <w:sz w:val="22"/>
                <w:szCs w:val="22"/>
              </w:rPr>
              <w:t xml:space="preserve">Down 8–18% annually</w:t>
            </w:r>
          </w:p>
        </w:tc>
      </w:tr>
    </w:tbl>
    <w:p>
      <w:r>
        <w:t xml:space="preserve"/>
      </w:r>
    </w:p>
    <w:p>
      <w:pPr>
        <w:shd w:fill="0D1B2A" w:val="clear"/>
        <w:spacing w:after="80" w:before="240"/>
      </w:pPr>
      <w:r>
        <w:rPr>
          <w:rFonts w:ascii="Arial" w:cs="Arial" w:eastAsia="Arial" w:hAnsi="Arial"/>
          <w:b/>
          <w:bCs/>
          <w:color w:val="FFFFFF"/>
          <w:sz w:val="24"/>
          <w:szCs w:val="24"/>
        </w:rPr>
        <w:t xml:space="preserve">  HOW TO READ THIS CHART</w:t>
      </w:r>
    </w:p>
    <w:p>
      <w:r>
        <w:t xml:space="preserve"/>
      </w:r>
    </w:p>
    <w:p>
      <w:pPr>
        <w:spacing w:after="100"/>
      </w:pPr>
      <w:r>
        <w:rPr>
          <w:rFonts w:ascii="Arial" w:cs="Arial" w:eastAsia="Arial" w:hAnsi="Arial"/>
          <w:sz w:val="22"/>
          <w:szCs w:val="22"/>
        </w:rPr>
        <w:t xml:space="preserve">Months of Inventory (MOI) is the most reliable indicator of market temperature. It measures how long it would take to sell all currently listed homes at the current pace of sales if no new listings came to market.</w:t>
      </w:r>
    </w:p>
    <w:p>
      <w:r>
        <w:t xml:space="preserve"/>
      </w:r>
    </w:p>
    <w:p>
      <w:pPr>
        <w:spacing w:after="100" w:before="200"/>
      </w:pPr>
      <w:r>
        <w:rPr>
          <w:rFonts w:ascii="Arial" w:cs="Arial" w:eastAsia="Arial" w:hAnsi="Arial"/>
          <w:b/>
          <w:bCs/>
          <w:color w:val="0D1B2A"/>
          <w:sz w:val="22"/>
          <w:szCs w:val="22"/>
        </w:rPr>
        <w:t xml:space="preserve">How to Calculate MOI</w:t>
      </w:r>
    </w:p>
    <w:p>
      <w:pPr>
        <w:pStyle w:val="ListParagraph"/>
        <w:numPr>
          <w:ilvl w:val="0"/>
          <w:numId w:val="2"/>
        </w:numPr>
      </w:pPr>
      <w:r>
        <w:rPr>
          <w:rFonts w:ascii="Arial" w:cs="Arial" w:eastAsia="Arial" w:hAnsi="Arial"/>
          <w:sz w:val="22"/>
          <w:szCs w:val="22"/>
        </w:rPr>
        <w:t xml:space="preserve">Take the total number of active listings in your target market</w:t>
      </w:r>
    </w:p>
    <w:p>
      <w:pPr>
        <w:pStyle w:val="ListParagraph"/>
        <w:numPr>
          <w:ilvl w:val="0"/>
          <w:numId w:val="2"/>
        </w:numPr>
      </w:pPr>
      <w:r>
        <w:rPr>
          <w:rFonts w:ascii="Arial" w:cs="Arial" w:eastAsia="Arial" w:hAnsi="Arial"/>
          <w:sz w:val="22"/>
          <w:szCs w:val="22"/>
        </w:rPr>
        <w:t xml:space="preserve">Divide by the number of homes sold in the last 30 days</w:t>
      </w:r>
    </w:p>
    <w:p>
      <w:pPr>
        <w:pStyle w:val="ListParagraph"/>
        <w:numPr>
          <w:ilvl w:val="0"/>
          <w:numId w:val="2"/>
        </w:numPr>
      </w:pPr>
      <w:r>
        <w:rPr>
          <w:rFonts w:ascii="Arial" w:cs="Arial" w:eastAsia="Arial" w:hAnsi="Arial"/>
          <w:sz w:val="22"/>
          <w:szCs w:val="22"/>
        </w:rPr>
        <w:t xml:space="preserve">Result = Months of Inventory</w:t>
      </w:r>
    </w:p>
    <w:p>
      <w:r>
        <w:t xml:space="preserve"/>
      </w:r>
    </w:p>
    <w:p>
      <w:pPr>
        <w:spacing w:after="100" w:before="200"/>
      </w:pPr>
      <w:r>
        <w:rPr>
          <w:rFonts w:ascii="Arial" w:cs="Arial" w:eastAsia="Arial" w:hAnsi="Arial"/>
          <w:b/>
          <w:bCs/>
          <w:color w:val="0D1B2A"/>
          <w:sz w:val="22"/>
          <w:szCs w:val="22"/>
        </w:rPr>
        <w:t xml:space="preserve">What It Means for Investors</w:t>
      </w:r>
    </w:p>
    <w:p>
      <w:pPr>
        <w:pStyle w:val="ListParagraph"/>
        <w:numPr>
          <w:ilvl w:val="0"/>
          <w:numId w:val="2"/>
        </w:numPr>
      </w:pPr>
      <w:r>
        <w:rPr>
          <w:rFonts w:ascii="Arial" w:cs="Arial" w:eastAsia="Arial" w:hAnsi="Arial"/>
          <w:sz w:val="22"/>
          <w:szCs w:val="22"/>
        </w:rPr>
        <w:t xml:space="preserve">HOT (0–1 months): Sellers dominate. Multiple offers common. Move fast or lose deals.</w:t>
      </w:r>
    </w:p>
    <w:p>
      <w:pPr>
        <w:pStyle w:val="ListParagraph"/>
        <w:numPr>
          <w:ilvl w:val="0"/>
          <w:numId w:val="2"/>
        </w:numPr>
      </w:pPr>
      <w:r>
        <w:rPr>
          <w:rFonts w:ascii="Arial" w:cs="Arial" w:eastAsia="Arial" w:hAnsi="Arial"/>
          <w:sz w:val="22"/>
          <w:szCs w:val="22"/>
        </w:rPr>
        <w:t xml:space="preserve">Warm (1–3 months): Still a seller's market. Good time to flip. Buyers have little leverage.</w:t>
      </w:r>
    </w:p>
    <w:p>
      <w:pPr>
        <w:pStyle w:val="ListParagraph"/>
        <w:numPr>
          <w:ilvl w:val="0"/>
          <w:numId w:val="2"/>
        </w:numPr>
      </w:pPr>
      <w:r>
        <w:rPr>
          <w:rFonts w:ascii="Arial" w:cs="Arial" w:eastAsia="Arial" w:hAnsi="Arial"/>
          <w:sz w:val="22"/>
          <w:szCs w:val="22"/>
        </w:rPr>
        <w:t xml:space="preserve">Neutral (4–6 months): Balanced. Fair negotiation on both sides. Solid acquisition conditions.</w:t>
      </w:r>
    </w:p>
    <w:p>
      <w:pPr>
        <w:pStyle w:val="ListParagraph"/>
        <w:numPr>
          <w:ilvl w:val="0"/>
          <w:numId w:val="2"/>
        </w:numPr>
      </w:pPr>
      <w:r>
        <w:rPr>
          <w:rFonts w:ascii="Arial" w:cs="Arial" w:eastAsia="Arial" w:hAnsi="Arial"/>
          <w:sz w:val="22"/>
          <w:szCs w:val="22"/>
        </w:rPr>
        <w:t xml:space="preserve">Cool (7–9 months): Buyers have leverage. Negotiate harder. Sellers motivated.</w:t>
      </w:r>
    </w:p>
    <w:p>
      <w:pPr>
        <w:pStyle w:val="ListParagraph"/>
        <w:numPr>
          <w:ilvl w:val="0"/>
          <w:numId w:val="2"/>
        </w:numPr>
      </w:pPr>
      <w:r>
        <w:rPr>
          <w:rFonts w:ascii="Arial" w:cs="Arial" w:eastAsia="Arial" w:hAnsi="Arial"/>
          <w:sz w:val="22"/>
          <w:szCs w:val="22"/>
        </w:rPr>
        <w:t xml:space="preserve">Cold/Bleak (10+ months): Deep buyer's market. Major discounts available. High caution on flips.</w:t>
      </w:r>
    </w:p>
    <w:p>
      <w:r>
        <w:t xml:space="preserve"/>
      </w:r>
    </w:p>
    <w:p>
      <w:pPr>
        <w:shd w:fill="F0F4F8" w:val="clear"/>
        <w:spacing w:before="60"/>
      </w:pPr>
      <w:r>
        <w:rPr>
          <w:rFonts w:ascii="Arial" w:cs="Arial" w:eastAsia="Arial" w:hAnsi="Arial"/>
          <w:i/>
          <w:iCs/>
          <w:color w:val="0D1B2A"/>
          <w:sz w:val="20"/>
          <w:szCs w:val="20"/>
        </w:rPr>
        <w:t xml:space="preserve">  FORGE TIP: Track MOI monthly in your target zip codes. Market conditions shift faster than most investors realize. Use ARIS to help you analyze your local market data.</w:t>
      </w:r>
    </w:p>
    <w:p>
      <w:r>
        <w:t xml:space="preserve"/>
      </w:r>
    </w:p>
    <w:p>
      <w:pPr>
        <w:spacing w:before="400"/>
      </w:pPr>
      <w:r>
        <w:rPr>
          <w:rFonts w:ascii="Arial" w:cs="Arial" w:eastAsia="Arial" w:hAnsi="Arial"/>
          <w:i/>
          <w:iCs/>
          <w:color w:val="6B7280"/>
          <w:sz w:val="16"/>
          <w:szCs w:val="16"/>
        </w:rPr>
        <w:t xml:space="preserve">DISCLAIMER: This document is provided for educational and informational purposes only by [YOUR COMPANY]. It does not constitute legal, financial, or tax advice. Always consult a qualified professional before making real estate investment decisions. ForgedByAris.com</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6" w:space="1"/>
      </w:pBdr>
      <w:tabs>
        <w:tab w:val="center" w:pos="4680"/>
        <w:tab w:val="right" w:pos="936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5040"/>
      <w:gridCol w:w="5040"/>
    </w:tblGrid>
    <w:tr>
      <w:tc>
        <w:tcPr>
          <w:tcW w:type="dxa" w:w="504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Market Conditions Reference Chart</w:t>
          </w:r>
        </w:p>
      </w:tc>
      <w:tc>
        <w:tcPr>
          <w:tcW w:type="dxa" w:w="5040"/>
          <w:shd w:fill="0D1B2A" w:val="clear"/>
          <w:tcMar>
            <w:top w:type="dxa" w:w="80"/>
            <w:left w:type="dxa" w:w="120"/>
            <w:bottom w:type="dxa" w:w="80"/>
            <w:right w:type="dxa" w:w="120"/>
          </w:tcMar>
          <w:vAlign w:val="center"/>
        </w:tcPr>
        <w:p>
          <w:pPr>
            <w:jc w:val="right"/>
          </w:pPr>
          <w:r>
            <w:rPr>
              <w:rFonts w:ascii="Arial" w:cs="Arial" w:eastAsia="Arial" w:hAnsi="Arial"/>
              <w:i/>
              <w:iCs/>
              <w:color w:val="C89B3C"/>
              <w:sz w:val="20"/>
              <w:szCs w:val="20"/>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2026-06-21T16:07:19.911Z</dcterms:created>
  <dcterms:modified xsi:type="dcterms:W3CDTF">2026-06-21T16:07:19.911Z</dcterms:modified>
</cp:coreProperties>
</file>

<file path=docProps/custom.xml><?xml version="1.0" encoding="utf-8"?>
<Properties xmlns="http://schemas.openxmlformats.org/officeDocument/2006/custom-properties" xmlns:vt="http://schemas.openxmlformats.org/officeDocument/2006/docPropsVTypes"/>
</file>