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0D1B2A"/>
          <w:sz w:val="28"/>
          <w:szCs w:val="28"/>
        </w:rPr>
        <w:t xml:space="preserve">Wholesaling Compliance &amp; Best Practices</w:t>
      </w:r>
    </w:p>
    <w:p>
      <w:pPr>
        <w:spacing w:after="80" w:before="80"/>
      </w:pPr>
      <w:r>
        <w:rPr>
          <w:rFonts w:ascii="Arial" w:cs="Arial" w:eastAsia="Arial" w:hAnsi="Arial"/>
          <w:b w:val="false"/>
          <w:bCs w:val="false"/>
          <w:i/>
          <w:iCs/>
          <w:sz w:val="20"/>
          <w:szCs w:val="20"/>
        </w:rPr>
        <w:t xml:space="preserve">This guide covers key legal and regulatory considerations for real estate wholesalers. Laws vary significantly by state. Always consult a licensed real estate attorney in your specific market before implementing any wholesaling strategy.</w:t>
      </w:r>
    </w:p>
    <w:p>
      <w:r>
        <w:t xml:space="preserve"/>
      </w:r>
    </w:p>
    <w:p>
      <w:pPr>
        <w:shd w:fill="0D1B2A" w:val="clear"/>
        <w:spacing w:after="100" w:before="200"/>
      </w:pPr>
      <w:r>
        <w:rPr>
          <w:rFonts w:ascii="Arial" w:cs="Arial" w:eastAsia="Arial" w:hAnsi="Arial"/>
          <w:b/>
          <w:bCs/>
          <w:color w:val="FFFFFF"/>
          <w:sz w:val="22"/>
          <w:szCs w:val="22"/>
        </w:rPr>
        <w:t xml:space="preserve">  WHAT IS WHOLESALING?</w:t>
      </w:r>
    </w:p>
    <w:p>
      <w:pPr>
        <w:spacing w:after="80" w:before="80"/>
      </w:pPr>
      <w:r>
        <w:rPr>
          <w:rFonts w:ascii="Arial" w:cs="Arial" w:eastAsia="Arial" w:hAnsi="Arial"/>
          <w:b w:val="false"/>
          <w:bCs w:val="false"/>
          <w:i w:val="false"/>
          <w:iCs w:val="false"/>
          <w:sz w:val="20"/>
          <w:szCs w:val="20"/>
        </w:rPr>
        <w:t xml:space="preserve">Wholesaling is a short-term real estate investment strategy where you find properties to purchase significantly below market value, then sell either your contract or the property itself to another buyer — typically a rehabber or landlord — before or at closing.</w:t>
      </w:r>
    </w:p>
    <w:p>
      <w:r>
        <w:t xml:space="preserve"/>
      </w:r>
    </w:p>
    <w:p>
      <w:pPr>
        <w:spacing w:after="80" w:before="80"/>
      </w:pPr>
      <w:r>
        <w:rPr>
          <w:rFonts w:ascii="Arial" w:cs="Arial" w:eastAsia="Arial" w:hAnsi="Arial"/>
          <w:b w:val="false"/>
          <w:bCs w:val="false"/>
          <w:i w:val="false"/>
          <w:iCs w:val="false"/>
          <w:sz w:val="20"/>
          <w:szCs w:val="20"/>
        </w:rPr>
        <w:t xml:space="preserve">There are two primary wholesaling strategies:</w:t>
      </w:r>
    </w:p>
    <w:p>
      <w:pPr>
        <w:pStyle w:val="ListParagraph"/>
        <w:numPr>
          <w:ilvl w:val="0"/>
          <w:numId w:val="2"/>
        </w:numPr>
        <w:spacing w:after="60" w:before="60"/>
      </w:pPr>
      <w:r>
        <w:rPr>
          <w:rFonts w:ascii="Arial" w:cs="Arial" w:eastAsia="Arial" w:hAnsi="Arial"/>
          <w:b w:val="false"/>
          <w:bCs w:val="false"/>
          <w:sz w:val="20"/>
          <w:szCs w:val="20"/>
        </w:rPr>
        <w:t xml:space="preserve">Assignment of Contract — You assign your purchase contract to a buyer for a fee. The buyer steps into your position and closes directly with the seller.</w:t>
      </w:r>
    </w:p>
    <w:p>
      <w:pPr>
        <w:pStyle w:val="ListParagraph"/>
        <w:numPr>
          <w:ilvl w:val="0"/>
          <w:numId w:val="2"/>
        </w:numPr>
        <w:spacing w:after="60" w:before="60"/>
      </w:pPr>
      <w:r>
        <w:rPr>
          <w:rFonts w:ascii="Arial" w:cs="Arial" w:eastAsia="Arial" w:hAnsi="Arial"/>
          <w:b w:val="false"/>
          <w:bCs w:val="false"/>
          <w:sz w:val="20"/>
          <w:szCs w:val="20"/>
        </w:rPr>
        <w:t xml:space="preserve">Double Close (Simultaneous Close) — You actually purchase the property (A-B transaction), then immediately resell it to your buyer (B-C transaction), often on the same day.</w:t>
      </w:r>
    </w:p>
    <w:p>
      <w:r>
        <w:t xml:space="preserve"/>
      </w:r>
    </w:p>
    <w:p>
      <w:pPr>
        <w:shd w:fill="0D1B2A" w:val="clear"/>
        <w:spacing w:after="100" w:before="200"/>
      </w:pPr>
      <w:r>
        <w:rPr>
          <w:rFonts w:ascii="Arial" w:cs="Arial" w:eastAsia="Arial" w:hAnsi="Arial"/>
          <w:b/>
          <w:bCs/>
          <w:color w:val="FFFFFF"/>
          <w:sz w:val="22"/>
          <w:szCs w:val="22"/>
        </w:rPr>
        <w:t xml:space="preserve">  CORE LEGAL PRINCIPLES</w:t>
      </w:r>
    </w:p>
    <w:p>
      <w:pPr>
        <w:spacing w:after="80" w:before="80"/>
      </w:pPr>
      <w:r>
        <w:rPr>
          <w:rFonts w:ascii="Arial" w:cs="Arial" w:eastAsia="Arial" w:hAnsi="Arial"/>
          <w:b w:val="false"/>
          <w:bCs w:val="false"/>
          <w:i w:val="false"/>
          <w:iCs w:val="false"/>
          <w:sz w:val="20"/>
          <w:szCs w:val="20"/>
        </w:rPr>
        <w:t xml:space="preserve">1. EQUITABLE INTEREST</w:t>
      </w:r>
    </w:p>
    <w:p>
      <w:pPr>
        <w:spacing w:after="80" w:before="80"/>
      </w:pPr>
      <w:r>
        <w:rPr>
          <w:rFonts w:ascii="Arial" w:cs="Arial" w:eastAsia="Arial" w:hAnsi="Arial"/>
          <w:b w:val="false"/>
          <w:bCs w:val="false"/>
          <w:i w:val="false"/>
          <w:iCs w:val="false"/>
          <w:sz w:val="20"/>
          <w:szCs w:val="20"/>
        </w:rPr>
        <w:t xml:space="preserve">When you execute a purchase and sale agreement with a seller, you acquire "equitable interest" in the property. This equitable interest is what you are selling when you assign a contract — you are NOT selling the property itself. This distinction is critical from a licensing standpoint.</w:t>
      </w:r>
    </w:p>
    <w:p>
      <w:r>
        <w:t xml:space="preserve"/>
      </w:r>
    </w:p>
    <w:p>
      <w:pPr>
        <w:spacing w:after="80" w:before="80"/>
      </w:pPr>
      <w:r>
        <w:rPr>
          <w:rFonts w:ascii="Arial" w:cs="Arial" w:eastAsia="Arial" w:hAnsi="Arial"/>
          <w:b w:val="false"/>
          <w:bCs w:val="false"/>
          <w:i w:val="false"/>
          <w:iCs w:val="false"/>
          <w:sz w:val="20"/>
          <w:szCs w:val="20"/>
        </w:rPr>
        <w:t xml:space="preserve">2. REAL ESTATE LICENSING</w:t>
      </w:r>
    </w:p>
    <w:p>
      <w:pPr>
        <w:spacing w:after="80" w:before="80"/>
      </w:pPr>
      <w:r>
        <w:rPr>
          <w:rFonts w:ascii="Arial" w:cs="Arial" w:eastAsia="Arial" w:hAnsi="Arial"/>
          <w:b w:val="false"/>
          <w:bCs w:val="false"/>
          <w:i w:val="false"/>
          <w:iCs w:val="false"/>
          <w:sz w:val="20"/>
          <w:szCs w:val="20"/>
        </w:rPr>
        <w:t xml:space="preserve">Real estate licensing requirements for wholesalers vary by state. Key rules that apply in most markets:</w:t>
      </w:r>
    </w:p>
    <w:p>
      <w:pPr>
        <w:pStyle w:val="ListParagraph"/>
        <w:numPr>
          <w:ilvl w:val="0"/>
          <w:numId w:val="2"/>
        </w:numPr>
        <w:spacing w:after="60" w:before="60"/>
      </w:pPr>
      <w:r>
        <w:rPr>
          <w:rFonts w:ascii="Arial" w:cs="Arial" w:eastAsia="Arial" w:hAnsi="Arial"/>
          <w:b w:val="false"/>
          <w:bCs w:val="false"/>
          <w:sz w:val="20"/>
          <w:szCs w:val="20"/>
        </w:rPr>
        <w:t xml:space="preserve">You CANNOT be paid a referral fee for locating properties for investors to purchase directly from sellers unless you hold an active real estate license. This is commonly called "bird dogging" and is illegal in most states without a license.</w:t>
      </w:r>
    </w:p>
    <w:p>
      <w:pPr>
        <w:pStyle w:val="ListParagraph"/>
        <w:numPr>
          <w:ilvl w:val="0"/>
          <w:numId w:val="2"/>
        </w:numPr>
        <w:spacing w:after="60" w:before="60"/>
      </w:pPr>
      <w:r>
        <w:rPr>
          <w:rFonts w:ascii="Arial" w:cs="Arial" w:eastAsia="Arial" w:hAnsi="Arial"/>
          <w:b w:val="false"/>
          <w:bCs w:val="false"/>
          <w:sz w:val="20"/>
          <w:szCs w:val="20"/>
        </w:rPr>
        <w:t xml:space="preserve">You CAN sell your equitable interest (your contract) for a fee in most states without a license — because you are selling your own interest, not representing someone else.</w:t>
      </w:r>
    </w:p>
    <w:p>
      <w:pPr>
        <w:pStyle w:val="ListParagraph"/>
        <w:numPr>
          <w:ilvl w:val="0"/>
          <w:numId w:val="2"/>
        </w:numPr>
        <w:spacing w:after="60" w:before="60"/>
      </w:pPr>
      <w:r>
        <w:rPr>
          <w:rFonts w:ascii="Arial" w:cs="Arial" w:eastAsia="Arial" w:hAnsi="Arial"/>
          <w:b w:val="false"/>
          <w:bCs w:val="false"/>
          <w:sz w:val="20"/>
          <w:szCs w:val="20"/>
        </w:rPr>
        <w:t xml:space="preserve">Some states (including Illinois, Oklahoma, and others) have passed or proposed legislation specifically regulating wholesaling. Research your state's current laws.</w:t>
      </w:r>
    </w:p>
    <w:p>
      <w:r>
        <w:t xml:space="preserve"/>
      </w:r>
    </w:p>
    <w:p>
      <w:pPr>
        <w:spacing w:after="80" w:before="80"/>
      </w:pPr>
      <w:r>
        <w:rPr>
          <w:rFonts w:ascii="Arial" w:cs="Arial" w:eastAsia="Arial" w:hAnsi="Arial"/>
          <w:b w:val="false"/>
          <w:bCs w:val="false"/>
          <w:i w:val="false"/>
          <w:iCs w:val="false"/>
          <w:sz w:val="20"/>
          <w:szCs w:val="20"/>
        </w:rPr>
        <w:t xml:space="preserve">3. DISCLOSURE REQUIREMENTS</w:t>
      </w:r>
    </w:p>
    <w:p>
      <w:pPr>
        <w:spacing w:after="80" w:before="80"/>
      </w:pPr>
      <w:r>
        <w:rPr>
          <w:rFonts w:ascii="Arial" w:cs="Arial" w:eastAsia="Arial" w:hAnsi="Arial"/>
          <w:b w:val="false"/>
          <w:bCs w:val="false"/>
          <w:i w:val="false"/>
          <w:iCs w:val="false"/>
          <w:sz w:val="20"/>
          <w:szCs w:val="20"/>
        </w:rPr>
        <w:t xml:space="preserve">Best practice in all markets:</w:t>
      </w:r>
    </w:p>
    <w:p>
      <w:pPr>
        <w:pStyle w:val="ListParagraph"/>
        <w:numPr>
          <w:ilvl w:val="0"/>
          <w:numId w:val="2"/>
        </w:numPr>
        <w:spacing w:after="60" w:before="60"/>
      </w:pPr>
      <w:r>
        <w:rPr>
          <w:rFonts w:ascii="Arial" w:cs="Arial" w:eastAsia="Arial" w:hAnsi="Arial"/>
          <w:b w:val="false"/>
          <w:bCs w:val="false"/>
          <w:sz w:val="20"/>
          <w:szCs w:val="20"/>
        </w:rPr>
        <w:t xml:space="preserve">Always disclose to the seller that you are an investor, not a traditional homebuyer.</w:t>
      </w:r>
    </w:p>
    <w:p>
      <w:pPr>
        <w:pStyle w:val="ListParagraph"/>
        <w:numPr>
          <w:ilvl w:val="0"/>
          <w:numId w:val="2"/>
        </w:numPr>
        <w:spacing w:after="60" w:before="60"/>
      </w:pPr>
      <w:r>
        <w:rPr>
          <w:rFonts w:ascii="Arial" w:cs="Arial" w:eastAsia="Arial" w:hAnsi="Arial"/>
          <w:b w:val="false"/>
          <w:bCs w:val="false"/>
          <w:sz w:val="20"/>
          <w:szCs w:val="20"/>
        </w:rPr>
        <w:t xml:space="preserve">Disclose that you intend to assign or resell the contract.</w:t>
      </w:r>
    </w:p>
    <w:p>
      <w:pPr>
        <w:pStyle w:val="ListParagraph"/>
        <w:numPr>
          <w:ilvl w:val="0"/>
          <w:numId w:val="2"/>
        </w:numPr>
        <w:spacing w:after="60" w:before="60"/>
      </w:pPr>
      <w:r>
        <w:rPr>
          <w:rFonts w:ascii="Arial" w:cs="Arial" w:eastAsia="Arial" w:hAnsi="Arial"/>
          <w:b w:val="false"/>
          <w:bCs w:val="false"/>
          <w:sz w:val="20"/>
          <w:szCs w:val="20"/>
        </w:rPr>
        <w:t xml:space="preserve">Put all terms in writing. Verbal agreements are unenforceable.</w:t>
      </w:r>
    </w:p>
    <w:p>
      <w:pPr>
        <w:pStyle w:val="ListParagraph"/>
        <w:numPr>
          <w:ilvl w:val="0"/>
          <w:numId w:val="2"/>
        </w:numPr>
        <w:spacing w:after="60" w:before="60"/>
      </w:pPr>
      <w:r>
        <w:rPr>
          <w:rFonts w:ascii="Arial" w:cs="Arial" w:eastAsia="Arial" w:hAnsi="Arial"/>
          <w:b w:val="false"/>
          <w:bCs w:val="false"/>
          <w:sz w:val="20"/>
          <w:szCs w:val="20"/>
        </w:rPr>
        <w:t xml:space="preserve">Never misrepresent your identity, role, or intentions.</w:t>
      </w:r>
    </w:p>
    <w:p>
      <w:r>
        <w:t xml:space="preserve"/>
      </w:r>
    </w:p>
    <w:p>
      <w:pPr>
        <w:shd w:fill="0D1B2A" w:val="clear"/>
        <w:spacing w:after="100" w:before="200"/>
      </w:pPr>
      <w:r>
        <w:rPr>
          <w:rFonts w:ascii="Arial" w:cs="Arial" w:eastAsia="Arial" w:hAnsi="Arial"/>
          <w:b/>
          <w:bCs/>
          <w:color w:val="FFFFFF"/>
          <w:sz w:val="22"/>
          <w:szCs w:val="22"/>
        </w:rPr>
        <w:t xml:space="preserve">  ASSIGNMENT OF CONTRACT — BEST PRACTICES</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Ensure your Purchase &amp; Sale Agreement includes an assignment clause</w:t>
      </w:r>
      <w:r>
        <w:rPr>
          <w:rFonts w:ascii="Arial" w:cs="Arial" w:eastAsia="Arial" w:hAnsi="Arial"/>
          <w:sz w:val="20"/>
          <w:szCs w:val="20"/>
        </w:rPr>
        <w:t xml:space="preserve"> — "Buyer may assign this contract without prior consent of Seller" or similar language.</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Include an inspection / due diligence period</w:t>
      </w:r>
      <w:r>
        <w:rPr>
          <w:rFonts w:ascii="Arial" w:cs="Arial" w:eastAsia="Arial" w:hAnsi="Arial"/>
          <w:sz w:val="20"/>
          <w:szCs w:val="20"/>
        </w:rPr>
        <w:t xml:space="preserve"> — Gives you time to find a buyer without being locked in.</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Set a realistic closing date</w:t>
      </w:r>
      <w:r>
        <w:rPr>
          <w:rFonts w:ascii="Arial" w:cs="Arial" w:eastAsia="Arial" w:hAnsi="Arial"/>
          <w:sz w:val="20"/>
          <w:szCs w:val="20"/>
        </w:rPr>
        <w:t xml:space="preserve"> — Allow enough time to market the deal and close the assignment.</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Collect a non-refundable deposit from your buyer</w:t>
      </w:r>
      <w:r>
        <w:rPr>
          <w:rFonts w:ascii="Arial" w:cs="Arial" w:eastAsia="Arial" w:hAnsi="Arial"/>
          <w:sz w:val="20"/>
          <w:szCs w:val="20"/>
        </w:rPr>
        <w:t xml:space="preserve"> — Protects you if the buyer backs out after you have taken the deal off the market.</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Use a formal Assignment of Contract document</w:t>
      </w:r>
      <w:r>
        <w:rPr>
          <w:rFonts w:ascii="Arial" w:cs="Arial" w:eastAsia="Arial" w:hAnsi="Arial"/>
          <w:sz w:val="20"/>
          <w:szCs w:val="20"/>
        </w:rPr>
        <w:t xml:space="preserve"> — Never transfer deals verbally or via email alone.</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Notify the title company or closing attorney of the assignment</w:t>
      </w:r>
      <w:r>
        <w:rPr>
          <w:rFonts w:ascii="Arial" w:cs="Arial" w:eastAsia="Arial" w:hAnsi="Arial"/>
          <w:sz w:val="20"/>
          <w:szCs w:val="20"/>
        </w:rPr>
        <w:t xml:space="preserve"> — They need to update closing documents to reflect the actual buyer.</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Confirm your assignment fee is documented on the HUD/Closing Disclosure</w:t>
      </w:r>
      <w:r>
        <w:rPr>
          <w:rFonts w:ascii="Arial" w:cs="Arial" w:eastAsia="Arial" w:hAnsi="Arial"/>
          <w:sz w:val="20"/>
          <w:szCs w:val="20"/>
        </w:rPr>
        <w:t xml:space="preserve"> — This is the cleanest, most transparent way to get paid.</w:t>
      </w:r>
    </w:p>
    <w:p>
      <w:r>
        <w:t xml:space="preserve"/>
      </w:r>
    </w:p>
    <w:p>
      <w:pPr>
        <w:shd w:fill="0D1B2A" w:val="clear"/>
        <w:spacing w:after="100" w:before="200"/>
      </w:pPr>
      <w:r>
        <w:rPr>
          <w:rFonts w:ascii="Arial" w:cs="Arial" w:eastAsia="Arial" w:hAnsi="Arial"/>
          <w:b/>
          <w:bCs/>
          <w:color w:val="FFFFFF"/>
          <w:sz w:val="22"/>
          <w:szCs w:val="22"/>
        </w:rPr>
        <w:t xml:space="preserve">  DOUBLE CLOSE — BEST PRACTICES</w:t>
      </w:r>
    </w:p>
    <w:p>
      <w:pPr>
        <w:spacing w:after="80" w:before="80"/>
      </w:pPr>
      <w:r>
        <w:rPr>
          <w:rFonts w:ascii="Arial" w:cs="Arial" w:eastAsia="Arial" w:hAnsi="Arial"/>
          <w:sz w:val="20"/>
          <w:szCs w:val="20"/>
        </w:rPr>
        <w:t xml:space="preserve">☐  </w:t>
      </w:r>
      <w:r>
        <w:rPr>
          <w:rFonts w:ascii="Arial" w:cs="Arial" w:eastAsia="Arial" w:hAnsi="Arial"/>
          <w:b w:val="false"/>
          <w:bCs w:val="false"/>
          <w:sz w:val="20"/>
          <w:szCs w:val="20"/>
        </w:rPr>
        <w:t xml:space="preserve">Use separate purchase agreements for the A-B and B-C transactions</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Confirm your title company or attorney will conduct simultaneous closings in your market</w:t>
      </w:r>
      <w:r>
        <w:rPr>
          <w:rFonts w:ascii="Arial" w:cs="Arial" w:eastAsia="Arial" w:hAnsi="Arial"/>
          <w:sz w:val="20"/>
          <w:szCs w:val="20"/>
        </w:rPr>
        <w:t xml:space="preserve"> — Not all will.</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Clarify funding source for the A-B close</w:t>
      </w:r>
      <w:r>
        <w:rPr>
          <w:rFonts w:ascii="Arial" w:cs="Arial" w:eastAsia="Arial" w:hAnsi="Arial"/>
          <w:sz w:val="20"/>
          <w:szCs w:val="20"/>
        </w:rPr>
        <w:t xml:space="preserve"> — Transactional funding or your own capital required. Some title companies will use B-C funds, some will not.</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Understand that both transactions will appear on public record</w:t>
      </w:r>
      <w:r>
        <w:rPr>
          <w:rFonts w:ascii="Arial" w:cs="Arial" w:eastAsia="Arial" w:hAnsi="Arial"/>
          <w:sz w:val="20"/>
          <w:szCs w:val="20"/>
        </w:rPr>
        <w:t xml:space="preserve"> — The spread between what you paid and what you sold for will be visible.</w:t>
      </w:r>
    </w:p>
    <w:p>
      <w:pPr>
        <w:spacing w:after="80" w:before="80"/>
      </w:pPr>
      <w:r>
        <w:rPr>
          <w:rFonts w:ascii="Arial" w:cs="Arial" w:eastAsia="Arial" w:hAnsi="Arial"/>
          <w:sz w:val="20"/>
          <w:szCs w:val="20"/>
        </w:rPr>
        <w:t xml:space="preserve">☐  </w:t>
      </w:r>
      <w:r>
        <w:rPr>
          <w:rFonts w:ascii="Arial" w:cs="Arial" w:eastAsia="Arial" w:hAnsi="Arial"/>
          <w:b/>
          <w:bCs/>
          <w:sz w:val="20"/>
          <w:szCs w:val="20"/>
        </w:rPr>
        <w:t xml:space="preserve">Consult your attorney on any seasoning requirements</w:t>
      </w:r>
      <w:r>
        <w:rPr>
          <w:rFonts w:ascii="Arial" w:cs="Arial" w:eastAsia="Arial" w:hAnsi="Arial"/>
          <w:sz w:val="20"/>
          <w:szCs w:val="20"/>
        </w:rPr>
        <w:t xml:space="preserve"> — Some lenders require the seller to have owned the property for 90+ days before their buyer can get financing.</w:t>
      </w:r>
    </w:p>
    <w:p>
      <w:r>
        <w:t xml:space="preserve"/>
      </w:r>
    </w:p>
    <w:p>
      <w:pPr>
        <w:shd w:fill="0D1B2A" w:val="clear"/>
        <w:spacing w:after="100" w:before="200"/>
      </w:pPr>
      <w:r>
        <w:rPr>
          <w:rFonts w:ascii="Arial" w:cs="Arial" w:eastAsia="Arial" w:hAnsi="Arial"/>
          <w:b/>
          <w:bCs/>
          <w:color w:val="FFFFFF"/>
          <w:sz w:val="22"/>
          <w:szCs w:val="22"/>
        </w:rPr>
        <w:t xml:space="preserve">  MARKETING COMPLIANCE</w:t>
      </w:r>
    </w:p>
    <w:p>
      <w:pPr>
        <w:spacing w:after="80" w:before="80"/>
      </w:pPr>
      <w:r>
        <w:rPr>
          <w:rFonts w:ascii="Arial" w:cs="Arial" w:eastAsia="Arial" w:hAnsi="Arial"/>
          <w:b w:val="false"/>
          <w:bCs w:val="false"/>
          <w:i w:val="false"/>
          <w:iCs w:val="false"/>
          <w:sz w:val="20"/>
          <w:szCs w:val="20"/>
        </w:rPr>
        <w:t xml:space="preserve">When marketing deals, follow these guidelines:</w:t>
      </w:r>
    </w:p>
    <w:p>
      <w:pPr>
        <w:pStyle w:val="ListParagraph"/>
        <w:numPr>
          <w:ilvl w:val="0"/>
          <w:numId w:val="2"/>
        </w:numPr>
        <w:spacing w:after="60" w:before="60"/>
      </w:pPr>
      <w:r>
        <w:rPr>
          <w:rFonts w:ascii="Arial" w:cs="Arial" w:eastAsia="Arial" w:hAnsi="Arial"/>
          <w:b w:val="false"/>
          <w:bCs w:val="false"/>
          <w:sz w:val="20"/>
          <w:szCs w:val="20"/>
        </w:rPr>
        <w:t xml:space="preserve">Do not advertise a property as "for sale" if you only hold a contract — you do not own the property. Use language like "contract for sale" or "deal available" instead.</w:t>
      </w:r>
    </w:p>
    <w:p>
      <w:pPr>
        <w:pStyle w:val="ListParagraph"/>
        <w:numPr>
          <w:ilvl w:val="0"/>
          <w:numId w:val="2"/>
        </w:numPr>
        <w:spacing w:after="60" w:before="60"/>
      </w:pPr>
      <w:r>
        <w:rPr>
          <w:rFonts w:ascii="Arial" w:cs="Arial" w:eastAsia="Arial" w:hAnsi="Arial"/>
          <w:b w:val="false"/>
          <w:bCs w:val="false"/>
          <w:sz w:val="20"/>
          <w:szCs w:val="20"/>
        </w:rPr>
        <w:t xml:space="preserve">Do not use the seller's name, address, or personal information in public marketing without permission.</w:t>
      </w:r>
    </w:p>
    <w:p>
      <w:pPr>
        <w:pStyle w:val="ListParagraph"/>
        <w:numPr>
          <w:ilvl w:val="0"/>
          <w:numId w:val="2"/>
        </w:numPr>
        <w:spacing w:after="60" w:before="60"/>
      </w:pPr>
      <w:r>
        <w:rPr>
          <w:rFonts w:ascii="Arial" w:cs="Arial" w:eastAsia="Arial" w:hAnsi="Arial"/>
          <w:b w:val="false"/>
          <w:bCs w:val="false"/>
          <w:sz w:val="20"/>
          <w:szCs w:val="20"/>
        </w:rPr>
        <w:t xml:space="preserve">Be transparent about your role in the transaction in all communications.</w:t>
      </w:r>
    </w:p>
    <w:p>
      <w:pPr>
        <w:pStyle w:val="ListParagraph"/>
        <w:numPr>
          <w:ilvl w:val="0"/>
          <w:numId w:val="2"/>
        </w:numPr>
        <w:spacing w:after="60" w:before="60"/>
      </w:pPr>
      <w:r>
        <w:rPr>
          <w:rFonts w:ascii="Arial" w:cs="Arial" w:eastAsia="Arial" w:hAnsi="Arial"/>
          <w:b w:val="false"/>
          <w:bCs w:val="false"/>
          <w:sz w:val="20"/>
          <w:szCs w:val="20"/>
        </w:rPr>
        <w:t xml:space="preserve">Do not make representations about property value or condition you cannot verify.</w:t>
      </w:r>
    </w:p>
    <w:p>
      <w:r>
        <w:t xml:space="preserve"/>
      </w:r>
    </w:p>
    <w:p>
      <w:pPr>
        <w:shd w:fill="0D1B2A" w:val="clear"/>
        <w:spacing w:after="100" w:before="200"/>
      </w:pPr>
      <w:r>
        <w:rPr>
          <w:rFonts w:ascii="Arial" w:cs="Arial" w:eastAsia="Arial" w:hAnsi="Arial"/>
          <w:b/>
          <w:bCs/>
          <w:color w:val="FFFFFF"/>
          <w:sz w:val="22"/>
          <w:szCs w:val="22"/>
        </w:rPr>
        <w:t xml:space="preserve">  RECOMMENDED PROFESSIONAL TEAM</w:t>
      </w:r>
    </w:p>
    <w:p>
      <w:pPr>
        <w:pStyle w:val="ListParagraph"/>
        <w:numPr>
          <w:ilvl w:val="0"/>
          <w:numId w:val="2"/>
        </w:numPr>
        <w:spacing w:after="60" w:before="60"/>
      </w:pPr>
      <w:r>
        <w:rPr>
          <w:rFonts w:ascii="Arial" w:cs="Arial" w:eastAsia="Arial" w:hAnsi="Arial"/>
          <w:b w:val="false"/>
          <w:bCs w:val="false"/>
          <w:sz w:val="20"/>
          <w:szCs w:val="20"/>
        </w:rPr>
        <w:t xml:space="preserve">Real Estate Attorney — Review your contracts, advise on state-specific regulations, and handle closings.</w:t>
      </w:r>
    </w:p>
    <w:p>
      <w:pPr>
        <w:pStyle w:val="ListParagraph"/>
        <w:numPr>
          <w:ilvl w:val="0"/>
          <w:numId w:val="2"/>
        </w:numPr>
        <w:spacing w:after="60" w:before="60"/>
      </w:pPr>
      <w:r>
        <w:rPr>
          <w:rFonts w:ascii="Arial" w:cs="Arial" w:eastAsia="Arial" w:hAnsi="Arial"/>
          <w:b w:val="false"/>
          <w:bCs w:val="false"/>
          <w:sz w:val="20"/>
          <w:szCs w:val="20"/>
        </w:rPr>
        <w:t xml:space="preserve">Title Company — Experienced with investor transactions and assignment closings.</w:t>
      </w:r>
    </w:p>
    <w:p>
      <w:pPr>
        <w:pStyle w:val="ListParagraph"/>
        <w:numPr>
          <w:ilvl w:val="0"/>
          <w:numId w:val="2"/>
        </w:numPr>
        <w:spacing w:after="60" w:before="60"/>
      </w:pPr>
      <w:r>
        <w:rPr>
          <w:rFonts w:ascii="Arial" w:cs="Arial" w:eastAsia="Arial" w:hAnsi="Arial"/>
          <w:b w:val="false"/>
          <w:bCs w:val="false"/>
          <w:sz w:val="20"/>
          <w:szCs w:val="20"/>
        </w:rPr>
        <w:t xml:space="preserve">CPA / Tax Advisor — Wholesaling income is typically ordinary income, not capital gains. Understand your tax obligations.</w:t>
      </w:r>
    </w:p>
    <w:p>
      <w:pPr>
        <w:pStyle w:val="ListParagraph"/>
        <w:numPr>
          <w:ilvl w:val="0"/>
          <w:numId w:val="2"/>
        </w:numPr>
        <w:spacing w:after="60" w:before="60"/>
      </w:pPr>
      <w:r>
        <w:rPr>
          <w:rFonts w:ascii="Arial" w:cs="Arial" w:eastAsia="Arial" w:hAnsi="Arial"/>
          <w:b w:val="false"/>
          <w:bCs w:val="false"/>
          <w:sz w:val="20"/>
          <w:szCs w:val="20"/>
        </w:rPr>
        <w:t xml:space="preserve">Real Estate Broker (optional) — In some markets, partnering with a licensed broker provides legal cover and MLS access.</w:t>
      </w:r>
    </w:p>
    <w:p>
      <w:r>
        <w:t xml:space="preserve"/>
      </w:r>
    </w:p>
    <w:p>
      <w:pPr>
        <w:shd w:fill="0D1B2A" w:val="clear"/>
        <w:spacing w:after="100" w:before="200"/>
      </w:pPr>
      <w:r>
        <w:rPr>
          <w:rFonts w:ascii="Arial" w:cs="Arial" w:eastAsia="Arial" w:hAnsi="Arial"/>
          <w:b/>
          <w:bCs/>
          <w:color w:val="FFFFFF"/>
          <w:sz w:val="22"/>
          <w:szCs w:val="22"/>
        </w:rPr>
        <w:t xml:space="preserve">  RED FLAGS TO AVOID</w:t>
      </w:r>
    </w:p>
    <w:p>
      <w:pPr>
        <w:pStyle w:val="ListParagraph"/>
        <w:numPr>
          <w:ilvl w:val="0"/>
          <w:numId w:val="2"/>
        </w:numPr>
        <w:spacing w:after="60" w:before="60"/>
      </w:pPr>
      <w:r>
        <w:rPr>
          <w:rFonts w:ascii="Arial" w:cs="Arial" w:eastAsia="Arial" w:hAnsi="Arial"/>
          <w:b w:val="false"/>
          <w:bCs w:val="false"/>
          <w:sz w:val="20"/>
          <w:szCs w:val="20"/>
        </w:rPr>
        <w:t xml:space="preserve">Collecting a fee without having a signed contract — this is unlicensed brokerage in most states.</w:t>
      </w:r>
    </w:p>
    <w:p>
      <w:pPr>
        <w:pStyle w:val="ListParagraph"/>
        <w:numPr>
          <w:ilvl w:val="0"/>
          <w:numId w:val="2"/>
        </w:numPr>
        <w:spacing w:after="60" w:before="60"/>
      </w:pPr>
      <w:r>
        <w:rPr>
          <w:rFonts w:ascii="Arial" w:cs="Arial" w:eastAsia="Arial" w:hAnsi="Arial"/>
          <w:b w:val="false"/>
          <w:bCs w:val="false"/>
          <w:sz w:val="20"/>
          <w:szCs w:val="20"/>
        </w:rPr>
        <w:t xml:space="preserve">Making false statements to sellers about property value or your intentions.</w:t>
      </w:r>
    </w:p>
    <w:p>
      <w:pPr>
        <w:pStyle w:val="ListParagraph"/>
        <w:numPr>
          <w:ilvl w:val="0"/>
          <w:numId w:val="2"/>
        </w:numPr>
        <w:spacing w:after="60" w:before="60"/>
      </w:pPr>
      <w:r>
        <w:rPr>
          <w:rFonts w:ascii="Arial" w:cs="Arial" w:eastAsia="Arial" w:hAnsi="Arial"/>
          <w:b w:val="false"/>
          <w:bCs w:val="false"/>
          <w:sz w:val="20"/>
          <w:szCs w:val="20"/>
        </w:rPr>
        <w:t xml:space="preserve">Operating as a "bird dog" and collecting referral fees without a license.</w:t>
      </w:r>
    </w:p>
    <w:p>
      <w:pPr>
        <w:pStyle w:val="ListParagraph"/>
        <w:numPr>
          <w:ilvl w:val="0"/>
          <w:numId w:val="2"/>
        </w:numPr>
        <w:spacing w:after="60" w:before="60"/>
      </w:pPr>
      <w:r>
        <w:rPr>
          <w:rFonts w:ascii="Arial" w:cs="Arial" w:eastAsia="Arial" w:hAnsi="Arial"/>
          <w:b w:val="false"/>
          <w:bCs w:val="false"/>
          <w:sz w:val="20"/>
          <w:szCs w:val="20"/>
        </w:rPr>
        <w:t xml:space="preserve">Ignoring state-specific wholesaling regulations that may have changed recently.</w:t>
      </w:r>
    </w:p>
    <w:p>
      <w:pPr>
        <w:pStyle w:val="ListParagraph"/>
        <w:numPr>
          <w:ilvl w:val="0"/>
          <w:numId w:val="2"/>
        </w:numPr>
        <w:spacing w:after="60" w:before="60"/>
      </w:pPr>
      <w:r>
        <w:rPr>
          <w:rFonts w:ascii="Arial" w:cs="Arial" w:eastAsia="Arial" w:hAnsi="Arial"/>
          <w:b w:val="false"/>
          <w:bCs w:val="false"/>
          <w:sz w:val="20"/>
          <w:szCs w:val="20"/>
        </w:rPr>
        <w:t xml:space="preserve">Using contracts without an attorney review in a new market.</w:t>
      </w:r>
    </w:p>
    <w:p>
      <w:r>
        <w:t xml:space="preserve"/>
      </w:r>
    </w:p>
    <w:p>
      <w:pPr>
        <w:pBdr>
          <w:top w:val="single" w:color="C89B3C" w:sz="4" w:space="4"/>
        </w:pBdr>
        <w:spacing w:after="60" w:before="300"/>
      </w:pPr>
      <w:r>
        <w:rPr>
          <w:rFonts w:ascii="Arial" w:cs="Arial" w:eastAsia="Arial" w:hAnsi="Arial"/>
          <w:i/>
          <w:iCs/>
          <w:color w:val="666666"/>
          <w:sz w:val="16"/>
          <w:szCs w:val="16"/>
        </w:rPr>
        <w:t xml:space="preserve">DISCLAIMER: This document is provided for educational and general reference purposes only and does not constitute legal, tax, or financial advice. Laws governing wholesaling vary by state. Consult a licensed real estate attorney in your market before use. [YOUR COMPANY] and [YOUR NAME] make no representations regarding the legal sufficiency of this document.</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6" w:space="1"/>
      </w:pBdr>
      <w:jc w:val="center"/>
    </w:pPr>
    <w:r>
      <w:rPr>
        <w:rFonts w:ascii="Arial" w:cs="Arial" w:eastAsia="Arial" w:hAnsi="Arial"/>
        <w:color w:val="444444"/>
        <w:sz w:val="18"/>
        <w:szCs w:val="18"/>
      </w:rPr>
      <w:t xml:space="preserve">FORGE | Powered by ARIS | ForgedByAris.com | Page </w:t>
    </w:r>
    <w:fldSimple w:instr="PAGE"/>
    <w:r>
      <w:rPr>
        <w:rFonts w:ascii="Arial" w:cs="Arial" w:eastAsia="Arial" w:hAnsi="Arial"/>
        <w:color w:val="444444"/>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5040"/>
      <w:gridCol w:w="5040"/>
    </w:tblGrid>
    <w:tr>
      <w:tc>
        <w:tcPr>
          <w:tcW w:type="dxa" w:w="504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Wholesaling Compliance &amp; Best Practices</w:t>
          </w:r>
        </w:p>
      </w:tc>
      <w:tc>
        <w:tcPr>
          <w:tcW w:type="dxa" w:w="5040"/>
          <w:shd w:fill="0D1B2A" w:val="clear"/>
          <w:tcMar>
            <w:top w:type="dxa" w:w="80"/>
            <w:left w:type="dxa" w:w="120"/>
            <w:bottom w:type="dxa" w:w="80"/>
            <w:right w:type="dxa" w:w="120"/>
          </w:tcMar>
          <w:vAlign w:val="center"/>
        </w:tcPr>
        <w:p>
          <w:pPr>
            <w:jc w:val="right"/>
          </w:pPr>
          <w:r>
            <w:rPr>
              <w:rFonts w:ascii="Arial" w:cs="Arial" w:eastAsia="Arial" w:hAnsi="Arial"/>
              <w:i/>
              <w:iCs/>
              <w:color w:val="C89B3C"/>
              <w:sz w:val="20"/>
              <w:szCs w:val="20"/>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2026-06-23T21:52:54.600Z</dcterms:created>
  <dcterms:modified xsi:type="dcterms:W3CDTF">2026-06-23T21:52:54.600Z</dcterms:modified>
</cp:coreProperties>
</file>

<file path=docProps/custom.xml><?xml version="1.0" encoding="utf-8"?>
<Properties xmlns="http://schemas.openxmlformats.org/officeDocument/2006/custom-properties" xmlns:vt="http://schemas.openxmlformats.org/officeDocument/2006/docPropsVTypes"/>
</file>