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w:anchor="directory-structure">
        <w:r>
          <w:rPr>
            <w:rStyle w:val="Hyperlink"/>
          </w:rPr>
          <w:t xml:space="preserve">Directory Structure</w:t>
        </w:r>
      </w:hyperlink>
    </w:p>
    <w:p>
      <w:pPr>
        <w:pStyle w:val="Compact"/>
        <w:numPr>
          <w:numId w:val="1001"/>
          <w:ilvl w:val="0"/>
        </w:numPr>
      </w:pPr>
      <w:hyperlink w:anchor="configuration-files">
        <w:r>
          <w:rPr>
            <w:rStyle w:val="Hyperlink"/>
          </w:rPr>
          <w:t xml:space="preserve">Configuration Files</w:t>
        </w:r>
      </w:hyperlink>
    </w:p>
    <w:p>
      <w:pPr>
        <w:pStyle w:val="Compact"/>
        <w:numPr>
          <w:numId w:val="1002"/>
          <w:ilvl w:val="1"/>
        </w:numPr>
      </w:pPr>
      <w:hyperlink w:anchor="root-config">
        <w:r>
          <w:rPr>
            <w:rStyle w:val="Hyperlink"/>
          </w:rPr>
          <w:t xml:space="preserve">Root Config</w:t>
        </w:r>
      </w:hyperlink>
    </w:p>
    <w:p>
      <w:pPr>
        <w:pStyle w:val="Compact"/>
        <w:numPr>
          <w:numId w:val="1002"/>
          <w:ilvl w:val="1"/>
        </w:numPr>
      </w:pPr>
      <w:hyperlink w:anchor="data-acquisition-config">
        <w:r>
          <w:rPr>
            <w:rStyle w:val="Hyperlink"/>
          </w:rPr>
          <w:t xml:space="preserve">Data Acquisition Config</w:t>
        </w:r>
      </w:hyperlink>
    </w:p>
    <w:p>
      <w:pPr>
        <w:pStyle w:val="Compact"/>
        <w:numPr>
          <w:numId w:val="1003"/>
          <w:ilvl w:val="2"/>
        </w:numPr>
      </w:pPr>
      <w:hyperlink w:anchor="trigger-mode">
        <w:r>
          <w:rPr>
            <w:rStyle w:val="Hyperlink"/>
          </w:rPr>
          <w:t xml:space="preserve">Trigger Mode</w:t>
        </w:r>
      </w:hyperlink>
    </w:p>
    <w:p>
      <w:pPr>
        <w:pStyle w:val="Compact"/>
        <w:numPr>
          <w:numId w:val="1003"/>
          <w:ilvl w:val="2"/>
        </w:numPr>
      </w:pPr>
      <w:hyperlink w:anchor="logger-mode">
        <w:r>
          <w:rPr>
            <w:rStyle w:val="Hyperlink"/>
          </w:rPr>
          <w:t xml:space="preserve">Logger Mode</w:t>
        </w:r>
      </w:hyperlink>
    </w:p>
    <w:p>
      <w:pPr>
        <w:pStyle w:val="Compact"/>
        <w:numPr>
          <w:numId w:val="1002"/>
          <w:ilvl w:val="1"/>
        </w:numPr>
      </w:pPr>
      <w:hyperlink w:anchor="global-degree-of-freedom-file">
        <w:r>
          <w:rPr>
            <w:rStyle w:val="Hyperlink"/>
          </w:rPr>
          <w:t xml:space="preserve">Global Degree-of-Freedom File</w:t>
        </w:r>
      </w:hyperlink>
    </w:p>
    <w:p>
      <w:pPr>
        <w:pStyle w:val="Heading1"/>
      </w:pPr>
      <w:bookmarkStart w:id="21" w:name="directory-structure"/>
      <w:bookmarkEnd w:id="21"/>
      <w:r>
        <w:t xml:space="preserve">Directory Structure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\diagram-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configuration-files"/>
      <w:bookmarkEnd w:id="23"/>
      <w:r>
        <w:t xml:space="preserve">Configuration Files</w:t>
      </w:r>
    </w:p>
    <w:p>
      <w:pPr>
        <w:pStyle w:val="FirstParagraph"/>
      </w:pPr>
      <w:r>
        <w:t xml:space="preserve">Simple configuration files are used to set user preferences and controll the behavior of different processes.</w:t>
      </w:r>
    </w:p>
    <w:p>
      <w:pPr>
        <w:pStyle w:val="BodyText"/>
      </w:pPr>
      <w:r>
        <w:t xml:space="preserve">The general syntax is:</w:t>
      </w:r>
    </w:p>
    <w:p>
      <w:pPr>
        <w:pStyle w:val="SourceCode"/>
      </w:pPr>
      <w:r>
        <w:rPr>
          <w:rStyle w:val="VerbatimChar"/>
        </w:rPr>
        <w:t xml:space="preserve"># Comment</w:t>
      </w:r>
      <w:r>
        <w:br w:type="textWrapping"/>
      </w:r>
      <w:r>
        <w:rPr>
          <w:rStyle w:val="VerbatimChar"/>
        </w:rPr>
        <w:t xml:space="preserve">VARIABLE    value</w:t>
      </w:r>
    </w:p>
    <w:p>
      <w:pPr>
        <w:pStyle w:val="FirstParagraph"/>
      </w:pPr>
      <w:r>
        <w:t xml:space="preserve">Where there is a tab delimination between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</w:t>
      </w:r>
    </w:p>
    <w:p>
      <w:pPr>
        <w:pStyle w:val="Heading2"/>
      </w:pPr>
      <w:bookmarkStart w:id="24" w:name="root-config"/>
      <w:bookmarkEnd w:id="24"/>
      <w:r>
        <w:t xml:space="preserve">Root Config</w:t>
      </w:r>
    </w:p>
    <w:p>
      <w:pPr>
        <w:pStyle w:val="FirstParagraph"/>
      </w:pPr>
      <w:r>
        <w:t xml:space="preserve">The main configuration file is expected to be on the project root and named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(with no extension).</w:t>
      </w:r>
    </w:p>
    <w:p>
      <w:pPr>
        <w:pStyle w:val="SourceCode"/>
      </w:pPr>
      <w:r>
        <w:rPr>
          <w:rStyle w:val="VerbatimChar"/>
        </w:rPr>
        <w:t xml:space="preserve"># VMA MAIN Configuration File</w:t>
      </w:r>
      <w:r>
        <w:br w:type="textWrapping"/>
      </w:r>
      <w:r>
        <w:rPr>
          <w:rStyle w:val="VerbatimChar"/>
        </w:rPr>
        <w:t xml:space="preserve"># Version 1.0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DATA_DIR                   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STRUCTURE_NO                123456789</w:t>
      </w:r>
      <w:r>
        <w:br w:type="textWrapping"/>
      </w:r>
      <w:r>
        <w:rPr>
          <w:rStyle w:val="VerbatimChar"/>
        </w:rPr>
        <w:t xml:space="preserve">STRUCTURE_DESCRIPTION       Bridge 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USER_NAME                   John</w:t>
      </w:r>
      <w:r>
        <w:br w:type="textWrapping"/>
      </w:r>
      <w:r>
        <w:rPr>
          <w:rStyle w:val="VerbatimChar"/>
        </w:rPr>
        <w:t xml:space="preserve">USER_EMAIL                  john@email.com</w:t>
      </w:r>
    </w:p>
    <w:p>
      <w:pPr>
        <w:pStyle w:val="Heading2"/>
      </w:pPr>
      <w:bookmarkStart w:id="25" w:name="data-acquisition-config"/>
      <w:bookmarkEnd w:id="25"/>
      <w:r>
        <w:t xml:space="preserve">Data Acquisition Config</w:t>
      </w:r>
    </w:p>
    <w:p>
      <w:pPr>
        <w:pStyle w:val="FirstParagraph"/>
      </w:pPr>
      <w:r>
        <w:t xml:space="preserve">DAQ configuration files are assumed to be in the path:</w:t>
      </w:r>
      <w:r>
        <w:t xml:space="preserve"> </w:t>
      </w:r>
      <w:r>
        <w:rPr>
          <w:rStyle w:val="VerbatimChar"/>
        </w:rPr>
        <w:t xml:space="preserve">~/data/bin/&lt;daq_name&gt;.conf</w:t>
      </w:r>
      <w:r>
        <w:t xml:space="preserve">. Note the</w:t>
      </w:r>
      <w:r>
        <w:t xml:space="preserve"> </w:t>
      </w:r>
      <w:r>
        <w:rPr>
          <w:rStyle w:val="VerbatimChar"/>
        </w:rPr>
        <w:t xml:space="preserve">.conf</w:t>
      </w:r>
      <w:r>
        <w:t xml:space="preserve"> </w:t>
      </w:r>
      <w:r>
        <w:t xml:space="preserve">extension.</w:t>
      </w:r>
    </w:p>
    <w:p>
      <w:pPr>
        <w:pStyle w:val="BodyText"/>
      </w:pPr>
      <w:r>
        <w:t xml:space="preserve">DAQ’s can be utilized in one of two modes, trigger or logger.</w:t>
      </w:r>
    </w:p>
    <w:p>
      <w:pPr>
        <w:pStyle w:val="Heading3"/>
      </w:pPr>
      <w:bookmarkStart w:id="26" w:name="trigger-mode"/>
      <w:bookmarkEnd w:id="26"/>
      <w:r>
        <w:t xml:space="preserve">Trigger Mode</w:t>
      </w:r>
    </w:p>
    <w:p>
      <w:pPr>
        <w:pStyle w:val="FirstParagraph"/>
      </w:pPr>
      <w:r>
        <w:t xml:space="preserve">DAQ’s in trigger mode are expected to have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input record per file. The files are expected to have the naming convention:</w:t>
      </w:r>
      <w:r>
        <w:t xml:space="preserve"> </w:t>
      </w:r>
      <w:r>
        <w:rPr>
          <w:rStyle w:val="VerbatimChar"/>
        </w:rPr>
        <w:t xml:space="preserve">somethingsomething_&lt;fileid&gt;_&lt;avg&gt;</w:t>
      </w:r>
    </w:p>
    <w:p>
      <w:pPr>
        <w:pStyle w:val="BodyText"/>
      </w:pPr>
      <w:r>
        <w:t xml:space="preserve">Below is an example of a trigger configuration file:</w:t>
      </w:r>
    </w:p>
    <w:p>
      <w:pPr>
        <w:pStyle w:val="SourceCode"/>
      </w:pPr>
      <w:r>
        <w:rPr>
          <w:rStyle w:val="VerbatimChar"/>
        </w:rPr>
        <w:t xml:space="preserve"># VMA DAQ Configuration</w:t>
      </w:r>
      <w:r>
        <w:br w:type="textWrapping"/>
      </w:r>
      <w:r>
        <w:rPr>
          <w:rStyle w:val="VerbatimChar"/>
        </w:rPr>
        <w:t xml:space="preserve"># Version 0.1.0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daq scanning mode</w:t>
      </w:r>
      <w:r>
        <w:br w:type="textWrapping"/>
      </w:r>
      <w:r>
        <w:rPr>
          <w:rStyle w:val="VerbatimChar"/>
        </w:rPr>
        <w:t xml:space="preserve">MODE        trigger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daq sampling info</w:t>
      </w:r>
      <w:r>
        <w:br w:type="textWrapping"/>
      </w:r>
      <w:r>
        <w:rPr>
          <w:rStyle w:val="VerbatimChar"/>
        </w:rPr>
        <w:t xml:space="preserve">FS          3200</w:t>
      </w:r>
      <w:r>
        <w:br w:type="textWrapping"/>
      </w:r>
      <w:r>
        <w:rPr>
          <w:rStyle w:val="VerbatimChar"/>
        </w:rPr>
        <w:t xml:space="preserve">BLOCKSIZE   3200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trigger window</w:t>
      </w:r>
      <w:r>
        <w:br w:type="textWrapping"/>
      </w:r>
      <w:r>
        <w:rPr>
          <w:rStyle w:val="VerbatimChar"/>
        </w:rPr>
        <w:t xml:space="preserve">LB          50</w:t>
      </w:r>
      <w:r>
        <w:br w:type="textWrapping"/>
      </w:r>
      <w:r>
        <w:rPr>
          <w:rStyle w:val="VerbatimChar"/>
        </w:rPr>
        <w:t xml:space="preserve">RB          31950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daq channel to data column mapping. the time stamp column is zero indexed to avoid confusion with the physical daq channels</w:t>
      </w:r>
      <w:r>
        <w:br w:type="textWrapping"/>
      </w:r>
      <w:r>
        <w:rPr>
          <w:rStyle w:val="VerbatimChar"/>
        </w:rPr>
        <w:t xml:space="preserve">TIMEID      0</w:t>
      </w:r>
      <w:r>
        <w:br w:type="textWrapping"/>
      </w:r>
      <w:r>
        <w:rPr>
          <w:rStyle w:val="VerbatimChar"/>
        </w:rPr>
        <w:t xml:space="preserve">INID        1, 2, 3</w:t>
      </w:r>
      <w:r>
        <w:br w:type="textWrapping"/>
      </w:r>
      <w:r>
        <w:rPr>
          <w:rStyle w:val="VerbatimChar"/>
        </w:rPr>
        <w:t xml:space="preserve">OUTID       4</w:t>
      </w:r>
      <w:r>
        <w:br w:type="textWrapping"/>
      </w:r>
      <w:r>
        <w:rPr>
          <w:rStyle w:val="VerbatimChar"/>
        </w:rPr>
        <w:t xml:space="preserve">TRIGGERID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units per channel</w:t>
      </w:r>
      <w:r>
        <w:br w:type="textWrapping"/>
      </w:r>
      <w:r>
        <w:rPr>
          <w:rStyle w:val="VerbatimChar"/>
        </w:rPr>
        <w:t xml:space="preserve">UNITS             lb, lb, lb, g</w:t>
      </w:r>
      <w:r>
        <w:br w:type="textWrapping"/>
      </w:r>
      <w:r>
        <w:rPr>
          <w:rStyle w:val="VerbatimChar"/>
        </w:rPr>
        <w:t xml:space="preserve"># channel scalling mv/v -&gt; EU</w:t>
      </w:r>
      <w:r>
        <w:br w:type="textWrapping"/>
      </w:r>
      <w:r>
        <w:rPr>
          <w:rStyle w:val="VerbatimChar"/>
        </w:rPr>
        <w:t xml:space="preserve">SENSITIVITY       .25, .25, .25, 1000</w:t>
      </w:r>
      <w:r>
        <w:br w:type="textWrapping"/>
      </w:r>
      <w:r>
        <w:rPr>
          <w:rStyle w:val="VerbatimChar"/>
        </w:rPr>
        <w:t xml:space="preserve"># scaled already? boolean</w:t>
      </w:r>
      <w:r>
        <w:br w:type="textWrapping"/>
      </w:r>
      <w:r>
        <w:rPr>
          <w:rStyle w:val="VerbatimChar"/>
        </w:rPr>
        <w:t xml:space="preserve">SCALED      0</w:t>
      </w:r>
    </w:p>
    <w:p>
      <w:pPr>
        <w:pStyle w:val="Heading3"/>
      </w:pPr>
      <w:bookmarkStart w:id="27" w:name="logger-mode"/>
      <w:bookmarkEnd w:id="27"/>
      <w:r>
        <w:t xml:space="preserve">Logger Mode</w:t>
      </w:r>
    </w:p>
    <w:p>
      <w:pPr>
        <w:pStyle w:val="FirstParagraph"/>
      </w:pPr>
      <w:r>
        <w:t xml:space="preserve">DAQ’s in logger mode are exected to have a series of files saved in a named folder.</w:t>
      </w:r>
    </w:p>
    <w:p>
      <w:pPr>
        <w:pStyle w:val="BodyText"/>
      </w:pPr>
      <w:r>
        <w:t xml:space="preserve">Below is an example of a logger configuration file:</w:t>
      </w:r>
    </w:p>
    <w:p>
      <w:pPr>
        <w:pStyle w:val="SourceCode"/>
      </w:pPr>
      <w:r>
        <w:rPr>
          <w:rStyle w:val="VerbatimChar"/>
        </w:rPr>
        <w:t xml:space="preserve"># VMA DAQ Configuration</w:t>
      </w:r>
      <w:r>
        <w:br w:type="textWrapping"/>
      </w:r>
      <w:r>
        <w:rPr>
          <w:rStyle w:val="VerbatimChar"/>
        </w:rPr>
        <w:t xml:space="preserve"># Version 0.1.0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daq scanning mode</w:t>
      </w:r>
      <w:r>
        <w:br w:type="textWrapping"/>
      </w:r>
      <w:r>
        <w:rPr>
          <w:rStyle w:val="VerbatimChar"/>
        </w:rPr>
        <w:t xml:space="preserve">MODE        logger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daq sampling info</w:t>
      </w:r>
      <w:r>
        <w:br w:type="textWrapping"/>
      </w:r>
      <w:r>
        <w:rPr>
          <w:rStyle w:val="VerbatimChar"/>
        </w:rPr>
        <w:t xml:space="preserve">FS          3200</w:t>
      </w:r>
      <w:r>
        <w:br w:type="textWrapping"/>
      </w:r>
      <w:r>
        <w:rPr>
          <w:rStyle w:val="VerbatimChar"/>
        </w:rPr>
        <w:t xml:space="preserve">BLOCKSIZE   3200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daq channel to data column mapping. the time stamp column is zero indexed to avoid confusion with the 'physical' daq channels</w:t>
      </w:r>
      <w:r>
        <w:br w:type="textWrapping"/>
      </w:r>
      <w:r>
        <w:rPr>
          <w:rStyle w:val="VerbatimChar"/>
        </w:rPr>
        <w:t xml:space="preserve">TIMEID      0</w:t>
      </w:r>
      <w:r>
        <w:br w:type="textWrapping"/>
      </w:r>
      <w:r>
        <w:rPr>
          <w:rStyle w:val="VerbatimChar"/>
        </w:rPr>
        <w:t xml:space="preserve">OUTID       1, 2, 3, 4, 5, 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units per channel</w:t>
      </w:r>
      <w:r>
        <w:br w:type="textWrapping"/>
      </w:r>
      <w:r>
        <w:rPr>
          <w:rStyle w:val="VerbatimChar"/>
        </w:rPr>
        <w:t xml:space="preserve">UNITS       g, g, g, g, g, g</w:t>
      </w:r>
      <w:r>
        <w:br w:type="textWrapping"/>
      </w:r>
      <w:r>
        <w:rPr>
          <w:rStyle w:val="VerbatimChar"/>
        </w:rPr>
        <w:t xml:space="preserve"># channel scalling mv/v -&gt; EU</w:t>
      </w:r>
      <w:r>
        <w:br w:type="textWrapping"/>
      </w:r>
      <w:r>
        <w:rPr>
          <w:rStyle w:val="VerbatimChar"/>
        </w:rPr>
        <w:t xml:space="preserve">SENSITIVITY 1000, 1000, 1000, 1000, 1000, 1000</w:t>
      </w:r>
      <w:r>
        <w:br w:type="textWrapping"/>
      </w:r>
      <w:r>
        <w:rPr>
          <w:rStyle w:val="VerbatimChar"/>
        </w:rPr>
        <w:t xml:space="preserve"># scaled already? boolean</w:t>
      </w:r>
      <w:r>
        <w:br w:type="textWrapping"/>
      </w:r>
      <w:r>
        <w:rPr>
          <w:rStyle w:val="VerbatimChar"/>
        </w:rPr>
        <w:t xml:space="preserve">SCALED      0</w:t>
      </w:r>
    </w:p>
    <w:p>
      <w:pPr>
        <w:pStyle w:val="Heading2"/>
      </w:pPr>
      <w:bookmarkStart w:id="28" w:name="global-degree-of-freedom-file"/>
      <w:bookmarkEnd w:id="28"/>
      <w:r>
        <w:t xml:space="preserve">Global Degree-of-Freedom File</w:t>
      </w:r>
    </w:p>
    <w:p>
      <w:pPr>
        <w:pStyle w:val="FirstParagraph"/>
      </w:pPr>
      <w:r>
        <w:t xml:space="preserve">The global DOF file is used to map the fileids (recorded in the filename by a trigger DAQ) to the global DOF in the modal model. It is expected to be a comma deliminated table located on the project root and named</w:t>
      </w:r>
      <w:r>
        <w:t xml:space="preserve"> </w:t>
      </w:r>
      <w:r>
        <w:rPr>
          <w:rStyle w:val="VerbatimChar"/>
        </w:rPr>
        <w:t xml:space="preserve">dof.csv</w:t>
      </w:r>
      <w:r>
        <w:t xml:space="preserve">.</w:t>
      </w:r>
    </w:p>
    <w:p>
      <w:pPr>
        <w:pStyle w:val="BodyText"/>
      </w:pPr>
      <w:r>
        <w:t xml:space="preserve">Below is an example of a dof configuration file. Note the</w:t>
      </w:r>
      <w:r>
        <w:t xml:space="preserve"> </w:t>
      </w:r>
      <w:r>
        <w:rPr>
          <w:rStyle w:val="VerbatimChar"/>
        </w:rPr>
        <w:t xml:space="preserve">channel = -1</w:t>
      </w:r>
      <w:r>
        <w:t xml:space="preserve"> </w:t>
      </w:r>
      <w:r>
        <w:t xml:space="preserve">in the last four rows signals that all force channels for that DAQ are to sum.</w:t>
      </w:r>
    </w:p>
    <w:p>
      <w:pPr>
        <w:pStyle w:val="SourceCode"/>
      </w:pPr>
      <w:r>
        <w:rPr>
          <w:rStyle w:val="VerbatimChar"/>
        </w:rPr>
        <w:t xml:space="preserve">id,record,axis,orientation,daq,type,channel,x,y,z,input,output</w:t>
      </w:r>
      <w:r>
        <w:br w:type="textWrapping"/>
      </w:r>
      <w:r>
        <w:rPr>
          <w:rStyle w:val="VerbatimChar"/>
        </w:rPr>
        <w:t xml:space="preserve">1,0,3,1,ref2,fixed,1,10,0,0,0,1</w:t>
      </w:r>
      <w:r>
        <w:br w:type="textWrapping"/>
      </w:r>
      <w:r>
        <w:rPr>
          <w:rStyle w:val="VerbatimChar"/>
        </w:rPr>
        <w:t xml:space="preserve">2,0,3,1,ref2,fixed,2,20,0,0,0,1</w:t>
      </w:r>
      <w:r>
        <w:br w:type="textWrapping"/>
      </w:r>
      <w:r>
        <w:rPr>
          <w:rStyle w:val="VerbatimChar"/>
        </w:rPr>
        <w:t xml:space="preserve">3,0,3,1,ref2,fixed,3,60,0,0,0,1</w:t>
      </w:r>
      <w:r>
        <w:br w:type="textWrapping"/>
      </w:r>
      <w:r>
        <w:rPr>
          <w:rStyle w:val="VerbatimChar"/>
        </w:rPr>
        <w:t xml:space="preserve">7,0,3,1,ref1,fixed,1,8.28,40,0,0,1</w:t>
      </w:r>
      <w:r>
        <w:br w:type="textWrapping"/>
      </w:r>
      <w:r>
        <w:rPr>
          <w:rStyle w:val="VerbatimChar"/>
        </w:rPr>
        <w:t xml:space="preserve">8,0,3,1,ref1,fixed,2,18.28,40,0,0,1</w:t>
      </w:r>
      <w:r>
        <w:br w:type="textWrapping"/>
      </w:r>
      <w:r>
        <w:rPr>
          <w:rStyle w:val="VerbatimChar"/>
        </w:rPr>
        <w:t xml:space="preserve">9,0,3,1,ref1,fixed,3,68.28,40,0,0,1</w:t>
      </w:r>
      <w:r>
        <w:br w:type="textWrapping"/>
      </w:r>
      <w:r>
        <w:rPr>
          <w:rStyle w:val="VerbatimChar"/>
        </w:rPr>
        <w:t xml:space="preserve">13,1,3,1,rov1,roving,-1,8.53,5,0,1,1</w:t>
      </w:r>
      <w:r>
        <w:br w:type="textWrapping"/>
      </w:r>
      <w:r>
        <w:rPr>
          <w:rStyle w:val="VerbatimChar"/>
        </w:rPr>
        <w:t xml:space="preserve">14,2,3,1,rov1,roving,-1,18.53,5,0,1,1</w:t>
      </w:r>
      <w:r>
        <w:br w:type="textWrapping"/>
      </w:r>
      <w:r>
        <w:rPr>
          <w:rStyle w:val="VerbatimChar"/>
        </w:rPr>
        <w:t xml:space="preserve">15,3,3,1,rov2,roving,-1,28.53,5,0,1,1</w:t>
      </w:r>
      <w:r>
        <w:br w:type="textWrapping"/>
      </w:r>
      <w:r>
        <w:rPr>
          <w:rStyle w:val="VerbatimChar"/>
        </w:rPr>
        <w:t xml:space="preserve">16,4,3,1,rov2,roving,-1,58.53,5,0,1,1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7d17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c3e0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