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60"/>
        <w:jc w:val="center"/>
      </w:pPr>
      <w:r>
        <w:rPr>
          <w:rFonts w:ascii="Calibri" w:cs="Calibri" w:eastAsia="Calibri" w:hAnsi="Calibri"/>
          <w:b/>
          <w:bCs/>
          <w:color w:val="1B4F72"/>
          <w:sz w:val="38"/>
          <w:szCs w:val="38"/>
        </w:rPr>
        <w:t xml:space="preserve">ParikshaSetu</w:t>
      </w:r>
    </w:p>
    <w:p>
      <w:pPr>
        <w:spacing w:after="40"/>
        <w:jc w:val="center"/>
      </w:pPr>
      <w:r>
        <w:rPr>
          <w:rFonts w:ascii="Calibri" w:cs="Calibri" w:eastAsia="Calibri" w:hAnsi="Calibri"/>
          <w:color w:val="2874A6"/>
          <w:sz w:val="17"/>
          <w:szCs w:val="17"/>
        </w:rPr>
        <w:t xml:space="preserve">National Free Competitive Exam Coaching Platform</w:t>
      </w:r>
    </w:p>
    <w:p>
      <w:pPr>
        <w:spacing w:after="90"/>
      </w:pPr>
    </w:p>
    <w:p>
      <w:pPr>
        <w:pBdr>
          <w:bottom w:val="single" w:color="1B4F72" w:sz="14" w:space="1"/>
        </w:pBdr>
        <w:spacing w:after="90"/>
        <w:jc w:val="center"/>
      </w:pPr>
      <w:r>
        <w:rPr>
          <w:rFonts w:ascii="Calibri" w:cs="Calibri" w:eastAsia="Calibri" w:hAnsi="Calibri"/>
          <w:b/>
          <w:bCs/>
          <w:color w:val="1B4F72"/>
          <w:sz w:val="24"/>
          <w:szCs w:val="24"/>
        </w:rPr>
        <w:t xml:space="preserve">ARCHITECTURE DECISION RECORDS</w:t>
      </w:r>
    </w:p>
    <w:p>
      <w:pPr>
        <w:spacing w:after="20"/>
        <w:jc w:val="center"/>
      </w:pPr>
      <w:r>
        <w:rPr>
          <w:rFonts w:ascii="Calibri" w:cs="Calibri" w:eastAsia="Calibri" w:hAnsi="Calibri"/>
          <w:b/>
          <w:bCs/>
          <w:color w:val="1B4F72"/>
          <w:sz w:val="22"/>
          <w:szCs w:val="22"/>
        </w:rPr>
        <w:t xml:space="preserve">(ADRs)</w:t>
      </w:r>
    </w:p>
    <w:p>
      <w:pPr>
        <w:spacing w:after="30"/>
        <w:jc w:val="center"/>
      </w:pPr>
      <w:r>
        <w:rPr>
          <w:rFonts w:ascii="Calibri" w:cs="Calibri" w:eastAsia="Calibri" w:hAnsi="Calibri"/>
          <w:color w:val="555555"/>
          <w:sz w:val="14"/>
          <w:szCs w:val="14"/>
        </w:rPr>
        <w:t xml:space="preserve">Key Technical Decisions, Context, Options &amp; Consequences</w:t>
      </w:r>
    </w:p>
    <w:p>
      <w:pPr>
        <w:spacing w:after="15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Version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v1.0 — Initial Set of Core ADRs</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Document Status</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Living Document — New ADRs added as decisions are made</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Based 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TRD + SAD + NFR + Technology Discussions</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Date</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19 August 2026</w:t>
            </w:r>
          </w:p>
        </w:tc>
      </w:tr>
      <w:tr>
        <w:tc>
          <w:tcPr>
            <w:tcW w:type="dxa" w:w="3400"/>
            <w:tcBorders>
              <w:top w:val="single" w:color="CCCCCC" w:sz="4"/>
              <w:left w:val="single" w:color="CCCCCC" w:sz="4"/>
              <w:bottom w:val="single" w:color="CCCCCC" w:sz="4"/>
              <w:right w:val="single" w:color="CCCCCC" w:sz="4"/>
            </w:tcBorders>
            <w:shd w:fill="EBF5FB" w:val="clear"/>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Classification</w:t>
            </w:r>
          </w:p>
        </w:tc>
        <w:tc>
          <w:tcPr>
            <w:tcW w:type="dxa" w:w="56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Confidential — Government Submission</w:t>
            </w:r>
          </w:p>
        </w:tc>
      </w:tr>
    </w:tbl>
    <w:p>
      <w:pPr>
        <w:spacing w:after="160"/>
      </w:pPr>
    </w:p>
    <w:p>
      <w:pPr>
        <w:jc w:val="center"/>
      </w:pPr>
      <w:r>
        <w:rPr>
          <w:rFonts w:ascii="Calibri" w:cs="Calibri" w:eastAsia="Calibri" w:hAnsi="Calibri"/>
          <w:i/>
          <w:iCs/>
          <w:color w:val="555555"/>
          <w:sz w:val="14"/>
          <w:szCs w:val="14"/>
        </w:rPr>
        <w:t xml:space="preserve">"Record decisions so future teams understand the why, not just the what"</w:t>
      </w:r>
    </w:p>
    <w:p>
      <w:r>
        <w:br w:type="page"/>
      </w:r>
    </w:p>
    <w:p>
      <w:pPr>
        <w:pStyle w:val="Heading1"/>
        <w:spacing w:after="140" w:before="280"/>
      </w:pPr>
      <w:r>
        <w:rPr>
          <w:rFonts w:ascii="Calibri" w:cs="Calibri" w:eastAsia="Calibri" w:hAnsi="Calibri"/>
          <w:b/>
          <w:bCs/>
          <w:color w:val="1B4F72"/>
          <w:sz w:val="24"/>
          <w:szCs w:val="24"/>
        </w:rPr>
        <w:t xml:space="preserve">1. INTRODUCTION TO ADRs</w:t>
      </w:r>
    </w:p>
    <w:p>
      <w:pPr>
        <w:pStyle w:val="Heading2"/>
        <w:spacing w:after="90" w:before="200"/>
      </w:pPr>
      <w:r>
        <w:rPr>
          <w:rFonts w:ascii="Calibri" w:cs="Calibri" w:eastAsia="Calibri" w:hAnsi="Calibri"/>
          <w:b/>
          <w:bCs/>
          <w:color w:val="2874A6"/>
          <w:sz w:val="18"/>
          <w:szCs w:val="18"/>
        </w:rPr>
        <w:t xml:space="preserve">1.1 Purpose</w:t>
      </w:r>
    </w:p>
    <w:p>
      <w:pPr>
        <w:spacing w:after="80"/>
      </w:pPr>
      <w:r>
        <w:rPr>
          <w:rFonts w:ascii="Calibri" w:cs="Calibri" w:eastAsia="Calibri" w:hAnsi="Calibri"/>
          <w:sz w:val="16"/>
          <w:szCs w:val="16"/>
        </w:rPr>
        <w:t xml:space="preserve">Architecture Decision Records (ADRs) capture important architectural decisions along with their context and consequences. They prevent loss of institutional knowledge, help new team members understand why the system is shaped the way it is, and provide a clear audit trail for Ministry and technical reviews.</w:t>
      </w:r>
    </w:p>
    <w:p>
      <w:pPr>
        <w:pStyle w:val="Heading2"/>
        <w:spacing w:after="90" w:before="200"/>
      </w:pPr>
      <w:r>
        <w:rPr>
          <w:rFonts w:ascii="Calibri" w:cs="Calibri" w:eastAsia="Calibri" w:hAnsi="Calibri"/>
          <w:b/>
          <w:bCs/>
          <w:color w:val="2874A6"/>
          <w:sz w:val="18"/>
          <w:szCs w:val="18"/>
        </w:rPr>
        <w:t xml:space="preserve">1.2 ADR Format Used</w:t>
      </w:r>
    </w:p>
    <w:p>
      <w:pPr>
        <w:pStyle w:val="ListParagraph"/>
        <w:numPr>
          <w:ilvl w:val="0"/>
          <w:numId w:val="2"/>
        </w:numPr>
        <w:spacing w:after="40"/>
      </w:pPr>
      <w:r>
        <w:rPr>
          <w:rFonts w:ascii="Calibri" w:cs="Calibri" w:eastAsia="Calibri" w:hAnsi="Calibri"/>
          <w:sz w:val="15"/>
          <w:szCs w:val="15"/>
        </w:rPr>
        <w:t xml:space="preserve">Title &amp; ID</w:t>
      </w:r>
    </w:p>
    <w:p>
      <w:pPr>
        <w:pStyle w:val="ListParagraph"/>
        <w:numPr>
          <w:ilvl w:val="0"/>
          <w:numId w:val="2"/>
        </w:numPr>
        <w:spacing w:after="40"/>
      </w:pPr>
      <w:r>
        <w:rPr>
          <w:rFonts w:ascii="Calibri" w:cs="Calibri" w:eastAsia="Calibri" w:hAnsi="Calibri"/>
          <w:sz w:val="15"/>
          <w:szCs w:val="15"/>
        </w:rPr>
        <w:t xml:space="preserve">Status (Proposed / Accepted / Deprecated / Superseded)</w:t>
      </w:r>
    </w:p>
    <w:p>
      <w:pPr>
        <w:pStyle w:val="ListParagraph"/>
        <w:numPr>
          <w:ilvl w:val="0"/>
          <w:numId w:val="2"/>
        </w:numPr>
        <w:spacing w:after="40"/>
      </w:pPr>
      <w:r>
        <w:rPr>
          <w:rFonts w:ascii="Calibri" w:cs="Calibri" w:eastAsia="Calibri" w:hAnsi="Calibri"/>
          <w:sz w:val="15"/>
          <w:szCs w:val="15"/>
        </w:rPr>
        <w:t xml:space="preserve">Context</w:t>
      </w:r>
    </w:p>
    <w:p>
      <w:pPr>
        <w:pStyle w:val="ListParagraph"/>
        <w:numPr>
          <w:ilvl w:val="0"/>
          <w:numId w:val="2"/>
        </w:numPr>
        <w:spacing w:after="40"/>
      </w:pPr>
      <w:r>
        <w:rPr>
          <w:rFonts w:ascii="Calibri" w:cs="Calibri" w:eastAsia="Calibri" w:hAnsi="Calibri"/>
          <w:sz w:val="15"/>
          <w:szCs w:val="15"/>
        </w:rPr>
        <w:t xml:space="preserve">Decision</w:t>
      </w:r>
    </w:p>
    <w:p>
      <w:pPr>
        <w:pStyle w:val="ListParagraph"/>
        <w:numPr>
          <w:ilvl w:val="0"/>
          <w:numId w:val="2"/>
        </w:numPr>
        <w:spacing w:after="40"/>
      </w:pPr>
      <w:r>
        <w:rPr>
          <w:rFonts w:ascii="Calibri" w:cs="Calibri" w:eastAsia="Calibri" w:hAnsi="Calibri"/>
          <w:sz w:val="15"/>
          <w:szCs w:val="15"/>
        </w:rPr>
        <w:t xml:space="preserve">Options Considered</w:t>
      </w:r>
    </w:p>
    <w:p>
      <w:pPr>
        <w:pStyle w:val="ListParagraph"/>
        <w:numPr>
          <w:ilvl w:val="0"/>
          <w:numId w:val="2"/>
        </w:numPr>
        <w:spacing w:after="40"/>
      </w:pPr>
      <w:r>
        <w:rPr>
          <w:rFonts w:ascii="Calibri" w:cs="Calibri" w:eastAsia="Calibri" w:hAnsi="Calibri"/>
          <w:sz w:val="15"/>
          <w:szCs w:val="15"/>
        </w:rPr>
        <w:t xml:space="preserve">Consequences (Positive / Negative / Neutral)</w:t>
      </w:r>
    </w:p>
    <w:p>
      <w:pPr>
        <w:pStyle w:val="ListParagraph"/>
        <w:numPr>
          <w:ilvl w:val="0"/>
          <w:numId w:val="2"/>
        </w:numPr>
        <w:spacing w:after="40"/>
      </w:pPr>
      <w:r>
        <w:rPr>
          <w:rFonts w:ascii="Calibri" w:cs="Calibri" w:eastAsia="Calibri" w:hAnsi="Calibri"/>
          <w:sz w:val="15"/>
          <w:szCs w:val="15"/>
        </w:rPr>
        <w:t xml:space="preserve">Related Decisions / Documents</w:t>
      </w:r>
    </w:p>
    <w:p>
      <w:pPr>
        <w:pStyle w:val="Heading2"/>
        <w:spacing w:after="90" w:before="200"/>
      </w:pPr>
      <w:r>
        <w:rPr>
          <w:rFonts w:ascii="Calibri" w:cs="Calibri" w:eastAsia="Calibri" w:hAnsi="Calibri"/>
          <w:b/>
          <w:bCs/>
          <w:color w:val="2874A6"/>
          <w:sz w:val="18"/>
          <w:szCs w:val="18"/>
        </w:rPr>
        <w:t xml:space="preserve">1.3 Governance</w:t>
      </w:r>
    </w:p>
    <w:p>
      <w:pPr>
        <w:pStyle w:val="ListParagraph"/>
        <w:numPr>
          <w:ilvl w:val="0"/>
          <w:numId w:val="2"/>
        </w:numPr>
        <w:spacing w:after="40"/>
      </w:pPr>
      <w:r>
        <w:rPr>
          <w:rFonts w:ascii="Calibri" w:cs="Calibri" w:eastAsia="Calibri" w:hAnsi="Calibri"/>
          <w:sz w:val="15"/>
          <w:szCs w:val="15"/>
        </w:rPr>
        <w:t xml:space="preserve">Significant architectural decisions should have an ADR before implementation</w:t>
      </w:r>
    </w:p>
    <w:p>
      <w:pPr>
        <w:pStyle w:val="ListParagraph"/>
        <w:numPr>
          <w:ilvl w:val="0"/>
          <w:numId w:val="2"/>
        </w:numPr>
        <w:spacing w:after="40"/>
      </w:pPr>
      <w:r>
        <w:rPr>
          <w:rFonts w:ascii="Calibri" w:cs="Calibri" w:eastAsia="Calibri" w:hAnsi="Calibri"/>
          <w:sz w:val="15"/>
          <w:szCs w:val="15"/>
        </w:rPr>
        <w:t xml:space="preserve">ADRs are reviewed by Architecture / Tech Lead and relevant stakeholders</w:t>
      </w:r>
    </w:p>
    <w:p>
      <w:pPr>
        <w:pStyle w:val="ListParagraph"/>
        <w:numPr>
          <w:ilvl w:val="0"/>
          <w:numId w:val="2"/>
        </w:numPr>
        <w:spacing w:after="40"/>
      </w:pPr>
      <w:r>
        <w:rPr>
          <w:rFonts w:ascii="Calibri" w:cs="Calibri" w:eastAsia="Calibri" w:hAnsi="Calibri"/>
          <w:sz w:val="15"/>
          <w:szCs w:val="15"/>
        </w:rPr>
        <w:t xml:space="preserve">Accepted ADRs are stored in version control alongside code</w:t>
      </w:r>
    </w:p>
    <w:p>
      <w:pPr>
        <w:pStyle w:val="ListParagraph"/>
        <w:numPr>
          <w:ilvl w:val="0"/>
          <w:numId w:val="2"/>
        </w:numPr>
        <w:spacing w:after="40"/>
      </w:pPr>
      <w:r>
        <w:rPr>
          <w:rFonts w:ascii="Calibri" w:cs="Calibri" w:eastAsia="Calibri" w:hAnsi="Calibri"/>
          <w:sz w:val="15"/>
          <w:szCs w:val="15"/>
        </w:rPr>
        <w:t xml:space="preserve">This document is the consolidated baseline of core Phase-1 decisions</w:t>
      </w:r>
    </w:p>
    <w:p>
      <w:pPr>
        <w:pStyle w:val="Heading1"/>
        <w:spacing w:after="140" w:before="280"/>
      </w:pPr>
      <w:r>
        <w:rPr>
          <w:rFonts w:ascii="Calibri" w:cs="Calibri" w:eastAsia="Calibri" w:hAnsi="Calibri"/>
          <w:b/>
          <w:bCs/>
          <w:color w:val="1B4F72"/>
          <w:sz w:val="24"/>
          <w:szCs w:val="24"/>
        </w:rPr>
        <w:t xml:space="preserve">2. ADR-001: Backend Primary Language &amp; Framework</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The platform requires a high-concurrency, I/O-heavy backend capable of serving millions of students, integrating with multiple government systems, and supporting rapid iteration by a mixed-skill engineering team. A clear primary stack was needed for API services.</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Adopt Node.js with NestJS (TypeScript) as the primary backend framework for business APIs and orchestration services. Use Python (FastAPI) specifically for AI/ML inference and data-science workloads.</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Option A: Node.js + NestJS/TypeScript (Selected)</w:t>
      </w:r>
    </w:p>
    <w:p>
      <w:pPr>
        <w:pStyle w:val="ListParagraph"/>
        <w:numPr>
          <w:ilvl w:val="0"/>
          <w:numId w:val="2"/>
        </w:numPr>
        <w:spacing w:after="40"/>
      </w:pPr>
      <w:r>
        <w:rPr>
          <w:rFonts w:ascii="Calibri" w:cs="Calibri" w:eastAsia="Calibri" w:hAnsi="Calibri"/>
          <w:sz w:val="15"/>
          <w:szCs w:val="15"/>
        </w:rPr>
        <w:t xml:space="preserve">Option B: C# / .NET on Linux</w:t>
      </w:r>
    </w:p>
    <w:p>
      <w:pPr>
        <w:pStyle w:val="ListParagraph"/>
        <w:numPr>
          <w:ilvl w:val="0"/>
          <w:numId w:val="2"/>
        </w:numPr>
        <w:spacing w:after="40"/>
      </w:pPr>
      <w:r>
        <w:rPr>
          <w:rFonts w:ascii="Calibri" w:cs="Calibri" w:eastAsia="Calibri" w:hAnsi="Calibri"/>
          <w:sz w:val="15"/>
          <w:szCs w:val="15"/>
        </w:rPr>
        <w:t xml:space="preserve">Option C: Java / Spring Boot</w:t>
      </w:r>
    </w:p>
    <w:p>
      <w:pPr>
        <w:pStyle w:val="ListParagraph"/>
        <w:numPr>
          <w:ilvl w:val="0"/>
          <w:numId w:val="2"/>
        </w:numPr>
        <w:spacing w:after="40"/>
      </w:pPr>
      <w:r>
        <w:rPr>
          <w:rFonts w:ascii="Calibri" w:cs="Calibri" w:eastAsia="Calibri" w:hAnsi="Calibri"/>
          <w:sz w:val="15"/>
          <w:szCs w:val="15"/>
        </w:rPr>
        <w:t xml:space="preserve">Option D: Go for all services</w:t>
      </w:r>
    </w:p>
    <w:p>
      <w:pPr>
        <w:pStyle w:val="ListParagraph"/>
        <w:numPr>
          <w:ilvl w:val="0"/>
          <w:numId w:val="2"/>
        </w:numPr>
        <w:spacing w:after="40"/>
      </w:pPr>
      <w:r>
        <w:rPr>
          <w:rFonts w:ascii="Calibri" w:cs="Calibri" w:eastAsia="Calibri" w:hAnsi="Calibri"/>
          <w:sz w:val="15"/>
          <w:szCs w:val="15"/>
        </w:rPr>
        <w:t xml:space="preserve">Option E: Pure Python for everything</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w:t>
      </w:r>
    </w:p>
    <w:p>
      <w:pPr>
        <w:pStyle w:val="ListParagraph"/>
        <w:numPr>
          <w:ilvl w:val="0"/>
          <w:numId w:val="2"/>
        </w:numPr>
        <w:spacing w:after="40"/>
      </w:pPr>
      <w:r>
        <w:rPr>
          <w:rFonts w:ascii="Calibri" w:cs="Calibri" w:eastAsia="Calibri" w:hAnsi="Calibri"/>
          <w:sz w:val="15"/>
          <w:szCs w:val="15"/>
        </w:rPr>
        <w:t xml:space="preserve">Excellent fit for high-concurrency I/O workloads (APIs, real-time, integrations)</w:t>
      </w:r>
    </w:p>
    <w:p>
      <w:pPr>
        <w:pStyle w:val="ListParagraph"/>
        <w:numPr>
          <w:ilvl w:val="0"/>
          <w:numId w:val="2"/>
        </w:numPr>
        <w:spacing w:after="40"/>
      </w:pPr>
      <w:r>
        <w:rPr>
          <w:rFonts w:ascii="Calibri" w:cs="Calibri" w:eastAsia="Calibri" w:hAnsi="Calibri"/>
          <w:sz w:val="15"/>
          <w:szCs w:val="15"/>
        </w:rPr>
        <w:t xml:space="preserve">Large talent pool in India; fast hiring and onboarding</w:t>
      </w:r>
    </w:p>
    <w:p>
      <w:pPr>
        <w:pStyle w:val="ListParagraph"/>
        <w:numPr>
          <w:ilvl w:val="0"/>
          <w:numId w:val="2"/>
        </w:numPr>
        <w:spacing w:after="40"/>
      </w:pPr>
      <w:r>
        <w:rPr>
          <w:rFonts w:ascii="Calibri" w:cs="Calibri" w:eastAsia="Calibri" w:hAnsi="Calibri"/>
          <w:sz w:val="15"/>
          <w:szCs w:val="15"/>
        </w:rPr>
        <w:t xml:space="preserve">Strong TypeScript ecosystem and NestJS structure for maintainability</w:t>
      </w:r>
    </w:p>
    <w:p>
      <w:pPr>
        <w:pStyle w:val="ListParagraph"/>
        <w:numPr>
          <w:ilvl w:val="0"/>
          <w:numId w:val="2"/>
        </w:numPr>
        <w:spacing w:after="40"/>
      </w:pPr>
      <w:r>
        <w:rPr>
          <w:rFonts w:ascii="Calibri" w:cs="Calibri" w:eastAsia="Calibri" w:hAnsi="Calibri"/>
          <w:sz w:val="15"/>
          <w:szCs w:val="15"/>
        </w:rPr>
        <w:t xml:space="preserve">Python remains first-class for AI (shared language with data science community)</w:t>
      </w:r>
    </w:p>
    <w:p>
      <w:pPr>
        <w:spacing w:after="80"/>
      </w:pPr>
      <w:r>
        <w:rPr>
          <w:rFonts w:ascii="Calibri" w:cs="Calibri" w:eastAsia="Calibri" w:hAnsi="Calibri"/>
          <w:sz w:val="16"/>
          <w:szCs w:val="16"/>
        </w:rPr>
        <w:t xml:space="preserve">Negative / Trade-offs:</w:t>
      </w:r>
    </w:p>
    <w:p>
      <w:pPr>
        <w:pStyle w:val="ListParagraph"/>
        <w:numPr>
          <w:ilvl w:val="0"/>
          <w:numId w:val="2"/>
        </w:numPr>
        <w:spacing w:after="40"/>
      </w:pPr>
      <w:r>
        <w:rPr>
          <w:rFonts w:ascii="Calibri" w:cs="Calibri" w:eastAsia="Calibri" w:hAnsi="Calibri"/>
          <w:sz w:val="15"/>
          <w:szCs w:val="15"/>
        </w:rPr>
        <w:t xml:space="preserve">CPU-bound work must be carefully offloaded (to workers or Python services)</w:t>
      </w:r>
    </w:p>
    <w:p>
      <w:pPr>
        <w:pStyle w:val="ListParagraph"/>
        <w:numPr>
          <w:ilvl w:val="0"/>
          <w:numId w:val="2"/>
        </w:numPr>
        <w:spacing w:after="40"/>
      </w:pPr>
      <w:r>
        <w:rPr>
          <w:rFonts w:ascii="Calibri" w:cs="Calibri" w:eastAsia="Calibri" w:hAnsi="Calibri"/>
          <w:sz w:val="15"/>
          <w:szCs w:val="15"/>
        </w:rPr>
        <w:t xml:space="preserve">Team must maintain discipline around TypeScript strictness and NestJS patterns</w:t>
      </w:r>
    </w:p>
    <w:p>
      <w:pPr>
        <w:spacing w:after="80"/>
      </w:pPr>
      <w:r>
        <w:rPr>
          <w:rFonts w:ascii="Calibri" w:cs="Calibri" w:eastAsia="Calibri" w:hAnsi="Calibri"/>
          <w:sz w:val="16"/>
          <w:szCs w:val="16"/>
        </w:rPr>
        <w:t xml:space="preserve">Neutral:</w:t>
      </w:r>
    </w:p>
    <w:p>
      <w:pPr>
        <w:pStyle w:val="ListParagraph"/>
        <w:numPr>
          <w:ilvl w:val="0"/>
          <w:numId w:val="2"/>
        </w:numPr>
        <w:spacing w:after="40"/>
      </w:pPr>
      <w:r>
        <w:rPr>
          <w:rFonts w:ascii="Calibri" w:cs="Calibri" w:eastAsia="Calibri" w:hAnsi="Calibri"/>
          <w:sz w:val="15"/>
          <w:szCs w:val="15"/>
        </w:rPr>
        <w:t xml:space="preserve">C# was viable but offered less advantage for this I/O-heavy, polyglot-AI profile and government cloud constraints</w:t>
      </w:r>
    </w:p>
    <w:p>
      <w:pPr>
        <w:pStyle w:val="Heading1"/>
        <w:spacing w:after="140" w:before="280"/>
      </w:pPr>
      <w:r>
        <w:rPr>
          <w:rFonts w:ascii="Calibri" w:cs="Calibri" w:eastAsia="Calibri" w:hAnsi="Calibri"/>
          <w:b/>
          <w:bCs/>
          <w:color w:val="1B4F72"/>
          <w:sz w:val="24"/>
          <w:szCs w:val="24"/>
        </w:rPr>
        <w:t xml:space="preserve">3. ADR-002: Mobile Client Technology</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ParikshaSetu must deliver a high-quality native experience on Android (primary) and iOS, with excellent offline support and performance on low-end devices, while keeping a single engineering team productive.</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Use Flutter for both Android and iOS mobile applications.</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Option A: Flutter (Selected)</w:t>
      </w:r>
    </w:p>
    <w:p>
      <w:pPr>
        <w:pStyle w:val="ListParagraph"/>
        <w:numPr>
          <w:ilvl w:val="0"/>
          <w:numId w:val="2"/>
        </w:numPr>
        <w:spacing w:after="40"/>
      </w:pPr>
      <w:r>
        <w:rPr>
          <w:rFonts w:ascii="Calibri" w:cs="Calibri" w:eastAsia="Calibri" w:hAnsi="Calibri"/>
          <w:sz w:val="15"/>
          <w:szCs w:val="15"/>
        </w:rPr>
        <w:t xml:space="preserve">Option B: React Native</w:t>
      </w:r>
    </w:p>
    <w:p>
      <w:pPr>
        <w:pStyle w:val="ListParagraph"/>
        <w:numPr>
          <w:ilvl w:val="0"/>
          <w:numId w:val="2"/>
        </w:numPr>
        <w:spacing w:after="40"/>
      </w:pPr>
      <w:r>
        <w:rPr>
          <w:rFonts w:ascii="Calibri" w:cs="Calibri" w:eastAsia="Calibri" w:hAnsi="Calibri"/>
          <w:sz w:val="15"/>
          <w:szCs w:val="15"/>
        </w:rPr>
        <w:t xml:space="preserve">Option C: Native Kotlin + Swift</w:t>
      </w:r>
    </w:p>
    <w:p>
      <w:pPr>
        <w:pStyle w:val="ListParagraph"/>
        <w:numPr>
          <w:ilvl w:val="0"/>
          <w:numId w:val="2"/>
        </w:numPr>
        <w:spacing w:after="40"/>
      </w:pPr>
      <w:r>
        <w:rPr>
          <w:rFonts w:ascii="Calibri" w:cs="Calibri" w:eastAsia="Calibri" w:hAnsi="Calibri"/>
          <w:sz w:val="15"/>
          <w:szCs w:val="15"/>
        </w:rPr>
        <w:t xml:space="preserve">Option D: Progressive Web App only</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Single codebase, strong performance, excellent offline and low-end device support, good developer experience.</w:t>
      </w:r>
    </w:p>
    <w:p>
      <w:pPr>
        <w:spacing w:after="80"/>
      </w:pPr>
      <w:r>
        <w:rPr>
          <w:rFonts w:ascii="Calibri" w:cs="Calibri" w:eastAsia="Calibri" w:hAnsi="Calibri"/>
          <w:sz w:val="16"/>
          <w:szCs w:val="16"/>
        </w:rPr>
        <w:t xml:space="preserve">Negative: Some platform-specific features may require plugins or native modules; team needs Flutter expertise.</w:t>
      </w:r>
    </w:p>
    <w:p>
      <w:pPr>
        <w:spacing w:after="80"/>
      </w:pPr>
      <w:r>
        <w:rPr>
          <w:rFonts w:ascii="Calibri" w:cs="Calibri" w:eastAsia="Calibri" w:hAnsi="Calibri"/>
          <w:sz w:val="16"/>
          <w:szCs w:val="16"/>
        </w:rPr>
        <w:t xml:space="preserve">Neutral: React Native was close; Flutter was preferred for performance and UI consistency on low-end Android.</w:t>
      </w:r>
    </w:p>
    <w:p>
      <w:pPr>
        <w:pStyle w:val="Heading1"/>
        <w:spacing w:after="140" w:before="280"/>
      </w:pPr>
      <w:r>
        <w:rPr>
          <w:rFonts w:ascii="Calibri" w:cs="Calibri" w:eastAsia="Calibri" w:hAnsi="Calibri"/>
          <w:b/>
          <w:bCs/>
          <w:color w:val="1B4F72"/>
          <w:sz w:val="24"/>
          <w:szCs w:val="24"/>
        </w:rPr>
        <w:t xml:space="preserve">4. ADR-003: Primary Database</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a reliable, transactional store for users, content metadata, attempts, bookings, and operational data, with strong consistency, mature tooling, and India-friendly licensing/support on NIC.</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Use PostgreSQL as the primary transactional database. Use Redis for caching and short-lived state. Use ClickHouse for analytical / high-volume event data. Use OpenSearch/Elasticsearch for full-text search.</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PostgreSQL (Selected as primary)</w:t>
      </w:r>
    </w:p>
    <w:p>
      <w:pPr>
        <w:pStyle w:val="ListParagraph"/>
        <w:numPr>
          <w:ilvl w:val="0"/>
          <w:numId w:val="2"/>
        </w:numPr>
        <w:spacing w:after="40"/>
      </w:pPr>
      <w:r>
        <w:rPr>
          <w:rFonts w:ascii="Calibri" w:cs="Calibri" w:eastAsia="Calibri" w:hAnsi="Calibri"/>
          <w:sz w:val="15"/>
          <w:szCs w:val="15"/>
        </w:rPr>
        <w:t xml:space="preserve">MySQL / MariaDB</w:t>
      </w:r>
    </w:p>
    <w:p>
      <w:pPr>
        <w:pStyle w:val="ListParagraph"/>
        <w:numPr>
          <w:ilvl w:val="0"/>
          <w:numId w:val="2"/>
        </w:numPr>
        <w:spacing w:after="40"/>
      </w:pPr>
      <w:r>
        <w:rPr>
          <w:rFonts w:ascii="Calibri" w:cs="Calibri" w:eastAsia="Calibri" w:hAnsi="Calibri"/>
          <w:sz w:val="15"/>
          <w:szCs w:val="15"/>
        </w:rPr>
        <w:t xml:space="preserve">MongoDB as primary</w:t>
      </w:r>
    </w:p>
    <w:p>
      <w:pPr>
        <w:pStyle w:val="ListParagraph"/>
        <w:numPr>
          <w:ilvl w:val="0"/>
          <w:numId w:val="2"/>
        </w:numPr>
        <w:spacing w:after="40"/>
      </w:pPr>
      <w:r>
        <w:rPr>
          <w:rFonts w:ascii="Calibri" w:cs="Calibri" w:eastAsia="Calibri" w:hAnsi="Calibri"/>
          <w:sz w:val="15"/>
          <w:szCs w:val="15"/>
        </w:rPr>
        <w:t xml:space="preserve">CockroachDB / distributed SQL</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ACID guarantees, rich SQL, excellent ecosystem, JSON support when needed, proven at scale.</w:t>
      </w:r>
    </w:p>
    <w:p>
      <w:pPr>
        <w:spacing w:after="80"/>
      </w:pPr>
      <w:r>
        <w:rPr>
          <w:rFonts w:ascii="Calibri" w:cs="Calibri" w:eastAsia="Calibri" w:hAnsi="Calibri"/>
          <w:sz w:val="16"/>
          <w:szCs w:val="16"/>
        </w:rPr>
        <w:t xml:space="preserve">Negative: Write scaling requires careful partitioning/sharding design for the largest tables (attempts, answers).</w:t>
      </w:r>
    </w:p>
    <w:p>
      <w:pPr>
        <w:spacing w:after="80"/>
      </w:pPr>
      <w:r>
        <w:rPr>
          <w:rFonts w:ascii="Calibri" w:cs="Calibri" w:eastAsia="Calibri" w:hAnsi="Calibri"/>
          <w:sz w:val="16"/>
          <w:szCs w:val="16"/>
        </w:rPr>
        <w:t xml:space="preserve">Neutral: Polyglot persistence is accepted; each store has a clear responsibility.</w:t>
      </w:r>
    </w:p>
    <w:p>
      <w:pPr>
        <w:pStyle w:val="Heading1"/>
        <w:spacing w:after="140" w:before="280"/>
      </w:pPr>
      <w:r>
        <w:rPr>
          <w:rFonts w:ascii="Calibri" w:cs="Calibri" w:eastAsia="Calibri" w:hAnsi="Calibri"/>
          <w:b/>
          <w:bCs/>
          <w:color w:val="1B4F72"/>
          <w:sz w:val="24"/>
          <w:szCs w:val="24"/>
        </w:rPr>
        <w:t xml:space="preserve">5. ADR-004: Hosting &amp; Data Residency</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As a Ministry of Education national platform, all personal and content data must reside in India and align with government cloud policy and DPDP expectations.</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Host the entire platform on NIC MeghRaj (or successor NIC cloud). No production personal data outside India.</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NIC MeghRaj (Selected)</w:t>
      </w:r>
    </w:p>
    <w:p>
      <w:pPr>
        <w:pStyle w:val="ListParagraph"/>
        <w:numPr>
          <w:ilvl w:val="0"/>
          <w:numId w:val="2"/>
        </w:numPr>
        <w:spacing w:after="40"/>
      </w:pPr>
      <w:r>
        <w:rPr>
          <w:rFonts w:ascii="Calibri" w:cs="Calibri" w:eastAsia="Calibri" w:hAnsi="Calibri"/>
          <w:sz w:val="15"/>
          <w:szCs w:val="15"/>
        </w:rPr>
        <w:t xml:space="preserve">Other MeitY-empaneled cloud</w:t>
      </w:r>
    </w:p>
    <w:p>
      <w:pPr>
        <w:pStyle w:val="ListParagraph"/>
        <w:numPr>
          <w:ilvl w:val="0"/>
          <w:numId w:val="2"/>
        </w:numPr>
        <w:spacing w:after="40"/>
      </w:pPr>
      <w:r>
        <w:rPr>
          <w:rFonts w:ascii="Calibri" w:cs="Calibri" w:eastAsia="Calibri" w:hAnsi="Calibri"/>
          <w:sz w:val="15"/>
          <w:szCs w:val="15"/>
        </w:rPr>
        <w:t xml:space="preserve">Hyperscaler India regions (rejected for primary control plane)</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Compliance with data localisation and government policy; single operational relationship with NIC.</w:t>
      </w:r>
    </w:p>
    <w:p>
      <w:pPr>
        <w:spacing w:after="80"/>
      </w:pPr>
      <w:r>
        <w:rPr>
          <w:rFonts w:ascii="Calibri" w:cs="Calibri" w:eastAsia="Calibri" w:hAnsi="Calibri"/>
          <w:sz w:val="16"/>
          <w:szCs w:val="16"/>
        </w:rPr>
        <w:t xml:space="preserve">Negative: Must work within NIC service catalogue, quotas, and operational processes; some managed services may differ from public cloud.</w:t>
      </w:r>
    </w:p>
    <w:p>
      <w:pPr>
        <w:spacing w:after="80"/>
      </w:pPr>
      <w:r>
        <w:rPr>
          <w:rFonts w:ascii="Calibri" w:cs="Calibri" w:eastAsia="Calibri" w:hAnsi="Calibri"/>
          <w:sz w:val="16"/>
          <w:szCs w:val="16"/>
        </w:rPr>
        <w:t xml:space="preserve">Related: All architecture and DR plans assume NIC capabilities.</w:t>
      </w:r>
    </w:p>
    <w:p>
      <w:pPr>
        <w:pStyle w:val="Heading1"/>
        <w:spacing w:after="140" w:before="280"/>
      </w:pPr>
      <w:r>
        <w:rPr>
          <w:rFonts w:ascii="Calibri" w:cs="Calibri" w:eastAsia="Calibri" w:hAnsi="Calibri"/>
          <w:b/>
          <w:bCs/>
          <w:color w:val="1B4F72"/>
          <w:sz w:val="24"/>
          <w:szCs w:val="24"/>
        </w:rPr>
        <w:t xml:space="preserve">6. ADR-005: Authentication Approach</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a simple, inclusive, low-friction login for students (including those without email or DigiLocker), while supporting optional stronger verification and never storing Aadhaar numbers.</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Primary authentication: Mobile number + OTP (SMS). Optional: DigiLocker / eKYC verification for “Verified” badge. No password-based primary login for students. JWT access tokens + rotating refresh tokens. No storage of Aadhaar number.</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Mobile OTP only (core)</w:t>
      </w:r>
    </w:p>
    <w:p>
      <w:pPr>
        <w:pStyle w:val="ListParagraph"/>
        <w:numPr>
          <w:ilvl w:val="0"/>
          <w:numId w:val="2"/>
        </w:numPr>
        <w:spacing w:after="40"/>
      </w:pPr>
      <w:r>
        <w:rPr>
          <w:rFonts w:ascii="Calibri" w:cs="Calibri" w:eastAsia="Calibri" w:hAnsi="Calibri"/>
          <w:sz w:val="15"/>
          <w:szCs w:val="15"/>
        </w:rPr>
        <w:t xml:space="preserve">Mobile OTP + optional DigiLocker (Selected)</w:t>
      </w:r>
    </w:p>
    <w:p>
      <w:pPr>
        <w:pStyle w:val="ListParagraph"/>
        <w:numPr>
          <w:ilvl w:val="0"/>
          <w:numId w:val="2"/>
        </w:numPr>
        <w:spacing w:after="40"/>
      </w:pPr>
      <w:r>
        <w:rPr>
          <w:rFonts w:ascii="Calibri" w:cs="Calibri" w:eastAsia="Calibri" w:hAnsi="Calibri"/>
          <w:sz w:val="15"/>
          <w:szCs w:val="15"/>
        </w:rPr>
        <w:t xml:space="preserve">Aadhaar mandatory (Rejected — inclusion &amp; privacy)</w:t>
      </w:r>
    </w:p>
    <w:p>
      <w:pPr>
        <w:pStyle w:val="ListParagraph"/>
        <w:numPr>
          <w:ilvl w:val="0"/>
          <w:numId w:val="2"/>
        </w:numPr>
        <w:spacing w:after="40"/>
      </w:pPr>
      <w:r>
        <w:rPr>
          <w:rFonts w:ascii="Calibri" w:cs="Calibri" w:eastAsia="Calibri" w:hAnsi="Calibri"/>
          <w:sz w:val="15"/>
          <w:szCs w:val="15"/>
        </w:rPr>
        <w:t xml:space="preserve">Email + password (Rejected as primary for target users)</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High inclusion; aligns with Indian user behaviour; privacy-preserving.</w:t>
      </w:r>
    </w:p>
    <w:p>
      <w:pPr>
        <w:spacing w:after="80"/>
      </w:pPr>
      <w:r>
        <w:rPr>
          <w:rFonts w:ascii="Calibri" w:cs="Calibri" w:eastAsia="Calibri" w:hAnsi="Calibri"/>
          <w:sz w:val="16"/>
          <w:szCs w:val="16"/>
        </w:rPr>
        <w:t xml:space="preserve">Negative: Dependency on SMS delivery reliability and cost; OTP fatigue if overused.</w:t>
      </w:r>
    </w:p>
    <w:p>
      <w:pPr>
        <w:spacing w:after="80"/>
      </w:pPr>
      <w:r>
        <w:rPr>
          <w:rFonts w:ascii="Calibri" w:cs="Calibri" w:eastAsia="Calibri" w:hAnsi="Calibri"/>
          <w:sz w:val="16"/>
          <w:szCs w:val="16"/>
        </w:rPr>
        <w:t xml:space="preserve">Mitigation: Dual SMS providers; rate limits; clear UX for delays.</w:t>
      </w:r>
    </w:p>
    <w:p>
      <w:pPr>
        <w:pStyle w:val="Heading1"/>
        <w:spacing w:after="140" w:before="280"/>
      </w:pPr>
      <w:r>
        <w:rPr>
          <w:rFonts w:ascii="Calibri" w:cs="Calibri" w:eastAsia="Calibri" w:hAnsi="Calibri"/>
          <w:b/>
          <w:bCs/>
          <w:color w:val="1B4F72"/>
          <w:sz w:val="24"/>
          <w:szCs w:val="24"/>
        </w:rPr>
        <w:t xml:space="preserve">7. ADR-006: Live Class Architecture</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to support very large concurrent audiences (target 10 lakh+) while offering interactive features for a subset of users and remaining resilient when interactive capacity is exceeded.</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Hybrid model: Interactive path via WebRTC SFU (LiveKit / Agora or equivalent) for limited concurrent interactive seats; simultaneous broadcast via HLS and automatic parallel stream to YouTube Live for massive scale and fallback.</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Pure WebRTC for everyone (Rejected — cost and scale limits)</w:t>
      </w:r>
    </w:p>
    <w:p>
      <w:pPr>
        <w:pStyle w:val="ListParagraph"/>
        <w:numPr>
          <w:ilvl w:val="0"/>
          <w:numId w:val="2"/>
        </w:numPr>
        <w:spacing w:after="40"/>
      </w:pPr>
      <w:r>
        <w:rPr>
          <w:rFonts w:ascii="Calibri" w:cs="Calibri" w:eastAsia="Calibri" w:hAnsi="Calibri"/>
          <w:sz w:val="15"/>
          <w:szCs w:val="15"/>
        </w:rPr>
        <w:t xml:space="preserve">Pure HLS / YouTube only (Rejected — loses interactivity)</w:t>
      </w:r>
    </w:p>
    <w:p>
      <w:pPr>
        <w:pStyle w:val="ListParagraph"/>
        <w:numPr>
          <w:ilvl w:val="0"/>
          <w:numId w:val="2"/>
        </w:numPr>
        <w:spacing w:after="40"/>
      </w:pPr>
      <w:r>
        <w:rPr>
          <w:rFonts w:ascii="Calibri" w:cs="Calibri" w:eastAsia="Calibri" w:hAnsi="Calibri"/>
          <w:sz w:val="15"/>
          <w:szCs w:val="15"/>
        </w:rPr>
        <w:t xml:space="preserve">Hybrid interactive + broadcast (Selected)</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Realistic path to 10L+ viewers; interactivity preserved for many; resilient fallback.</w:t>
      </w:r>
    </w:p>
    <w:p>
      <w:pPr>
        <w:spacing w:after="80"/>
      </w:pPr>
      <w:r>
        <w:rPr>
          <w:rFonts w:ascii="Calibri" w:cs="Calibri" w:eastAsia="Calibri" w:hAnsi="Calibri"/>
          <w:sz w:val="16"/>
          <w:szCs w:val="16"/>
        </w:rPr>
        <w:t xml:space="preserve">Negative: More moving parts; need careful capacity management and overflow UX.</w:t>
      </w:r>
    </w:p>
    <w:p>
      <w:pPr>
        <w:spacing w:after="80"/>
      </w:pPr>
      <w:r>
        <w:rPr>
          <w:rFonts w:ascii="Calibri" w:cs="Calibri" w:eastAsia="Calibri" w:hAnsi="Calibri"/>
          <w:sz w:val="16"/>
          <w:szCs w:val="16"/>
        </w:rPr>
        <w:t xml:space="preserve">Related: Live Class playbooks and load testing plans.</w:t>
      </w:r>
    </w:p>
    <w:p>
      <w:pPr>
        <w:pStyle w:val="Heading1"/>
        <w:spacing w:after="140" w:before="280"/>
      </w:pPr>
      <w:r>
        <w:rPr>
          <w:rFonts w:ascii="Calibri" w:cs="Calibri" w:eastAsia="Calibri" w:hAnsi="Calibri"/>
          <w:b/>
          <w:bCs/>
          <w:color w:val="1B4F72"/>
          <w:sz w:val="24"/>
          <w:szCs w:val="24"/>
        </w:rPr>
        <w:t xml:space="preserve">8. ADR-007: AI Serving Strategy</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personalised study plans, doubt solving, diagnostics, and readiness scoring while keeping data in India, controlling cost, and meeting latency targets (&lt;3s p95 for text doubt).</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Self-host open-weight Indian-friendly LLMs (e.g., LLaMA 3 variants or approved equivalents) on NIC GPU infrastructure. Use FastAPI-based AI services. Implement caching, quantisation, and fallback responses. Keep AI services separate from core transactional path so core learning continues if AI is degraded.</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Self-hosted open models on NIC GPUs (Selected)</w:t>
      </w:r>
    </w:p>
    <w:p>
      <w:pPr>
        <w:pStyle w:val="ListParagraph"/>
        <w:numPr>
          <w:ilvl w:val="0"/>
          <w:numId w:val="2"/>
        </w:numPr>
        <w:spacing w:after="40"/>
      </w:pPr>
      <w:r>
        <w:rPr>
          <w:rFonts w:ascii="Calibri" w:cs="Calibri" w:eastAsia="Calibri" w:hAnsi="Calibri"/>
          <w:sz w:val="15"/>
          <w:szCs w:val="15"/>
        </w:rPr>
        <w:t xml:space="preserve">Commercial API (OpenAI etc.) — Rejected for data residency and cost control</w:t>
      </w:r>
    </w:p>
    <w:p>
      <w:pPr>
        <w:pStyle w:val="ListParagraph"/>
        <w:numPr>
          <w:ilvl w:val="0"/>
          <w:numId w:val="2"/>
        </w:numPr>
        <w:spacing w:after="40"/>
      </w:pPr>
      <w:r>
        <w:rPr>
          <w:rFonts w:ascii="Calibri" w:cs="Calibri" w:eastAsia="Calibri" w:hAnsi="Calibri"/>
          <w:sz w:val="15"/>
          <w:szCs w:val="15"/>
        </w:rPr>
        <w:t xml:space="preserve">Fully rule-based (Rejected — insufficient personalisation)</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Data residency; cost predictability; full control over fine-tuning and safety.</w:t>
      </w:r>
    </w:p>
    <w:p>
      <w:pPr>
        <w:spacing w:after="80"/>
      </w:pPr>
      <w:r>
        <w:rPr>
          <w:rFonts w:ascii="Calibri" w:cs="Calibri" w:eastAsia="Calibri" w:hAnsi="Calibri"/>
          <w:sz w:val="16"/>
          <w:szCs w:val="16"/>
        </w:rPr>
        <w:t xml:space="preserve">Negative: Requires GPU capacity planning and MLOps maturity.</w:t>
      </w:r>
    </w:p>
    <w:p>
      <w:pPr>
        <w:spacing w:after="80"/>
      </w:pPr>
      <w:r>
        <w:rPr>
          <w:rFonts w:ascii="Calibri" w:cs="Calibri" w:eastAsia="Calibri" w:hAnsi="Calibri"/>
          <w:sz w:val="16"/>
          <w:szCs w:val="16"/>
        </w:rPr>
        <w:t xml:space="preserve">Mitigation: Start with smaller models; aggressive caching; graceful degradation.</w:t>
      </w:r>
    </w:p>
    <w:p>
      <w:pPr>
        <w:pStyle w:val="Heading1"/>
        <w:spacing w:after="140" w:before="280"/>
      </w:pPr>
      <w:r>
        <w:rPr>
          <w:rFonts w:ascii="Calibri" w:cs="Calibri" w:eastAsia="Calibri" w:hAnsi="Calibri"/>
          <w:b/>
          <w:bCs/>
          <w:color w:val="1B4F72"/>
          <w:sz w:val="24"/>
          <w:szCs w:val="24"/>
        </w:rPr>
        <w:t xml:space="preserve">9. ADR-008: API Style &amp; Gateway</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consistent, versioned, secure APIs for mobile, web, and future partners, with centralised cross-cutting concerns.</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REST APIs as primary style, documented with OpenAPI 3.0. API Gateway (Kong / NIC-equivalent / cloud gateway) for auth, rate limiting, routing, and TLS termination. Versioning via URI or header (prefer /v1/...).</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REST + OpenAPI (Selected)</w:t>
      </w:r>
    </w:p>
    <w:p>
      <w:pPr>
        <w:pStyle w:val="ListParagraph"/>
        <w:numPr>
          <w:ilvl w:val="0"/>
          <w:numId w:val="2"/>
        </w:numPr>
        <w:spacing w:after="40"/>
      </w:pPr>
      <w:r>
        <w:rPr>
          <w:rFonts w:ascii="Calibri" w:cs="Calibri" w:eastAsia="Calibri" w:hAnsi="Calibri"/>
          <w:sz w:val="15"/>
          <w:szCs w:val="15"/>
        </w:rPr>
        <w:t xml:space="preserve">GraphQL as primary (Deferred — added complexity for clients and caching)</w:t>
      </w:r>
    </w:p>
    <w:p>
      <w:pPr>
        <w:pStyle w:val="ListParagraph"/>
        <w:numPr>
          <w:ilvl w:val="0"/>
          <w:numId w:val="2"/>
        </w:numPr>
        <w:spacing w:after="40"/>
      </w:pPr>
      <w:r>
        <w:rPr>
          <w:rFonts w:ascii="Calibri" w:cs="Calibri" w:eastAsia="Calibri" w:hAnsi="Calibri"/>
          <w:sz w:val="15"/>
          <w:szCs w:val="15"/>
        </w:rPr>
        <w:t xml:space="preserve">gRPC for external clients (Rejected for mobile/web simplicity)</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Familiar to all clients; excellent tooling; easy caching and rate limiting.</w:t>
      </w:r>
    </w:p>
    <w:p>
      <w:pPr>
        <w:spacing w:after="80"/>
      </w:pPr>
      <w:r>
        <w:rPr>
          <w:rFonts w:ascii="Calibri" w:cs="Calibri" w:eastAsia="Calibri" w:hAnsi="Calibri"/>
          <w:sz w:val="16"/>
          <w:szCs w:val="16"/>
        </w:rPr>
        <w:t xml:space="preserve">Negative: Over-fetching possible; mitigated by careful endpoint design and future BFF if needed.</w:t>
      </w:r>
    </w:p>
    <w:p>
      <w:pPr>
        <w:pStyle w:val="Heading1"/>
        <w:spacing w:after="140" w:before="280"/>
      </w:pPr>
      <w:r>
        <w:rPr>
          <w:rFonts w:ascii="Calibri" w:cs="Calibri" w:eastAsia="Calibri" w:hAnsi="Calibri"/>
          <w:b/>
          <w:bCs/>
          <w:color w:val="1B4F72"/>
          <w:sz w:val="24"/>
          <w:szCs w:val="24"/>
        </w:rPr>
        <w:t xml:space="preserve">10. ADR-009: Message Broker &amp; Async Processing</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reliable async processing for notifications, analytics events, media pipeline triggers, and decoupling of services.</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Use Apache Kafka (or NIC-supported managed equivalent) as the primary event/streaming backbone. Use Redis for lightweight queues and caching where durability requirements are lower.</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Kafka (Selected)</w:t>
      </w:r>
    </w:p>
    <w:p>
      <w:pPr>
        <w:pStyle w:val="ListParagraph"/>
        <w:numPr>
          <w:ilvl w:val="0"/>
          <w:numId w:val="2"/>
        </w:numPr>
        <w:spacing w:after="40"/>
      </w:pPr>
      <w:r>
        <w:rPr>
          <w:rFonts w:ascii="Calibri" w:cs="Calibri" w:eastAsia="Calibri" w:hAnsi="Calibri"/>
          <w:sz w:val="15"/>
          <w:szCs w:val="15"/>
        </w:rPr>
        <w:t xml:space="preserve">RabbitMQ</w:t>
      </w:r>
    </w:p>
    <w:p>
      <w:pPr>
        <w:pStyle w:val="ListParagraph"/>
        <w:numPr>
          <w:ilvl w:val="0"/>
          <w:numId w:val="2"/>
        </w:numPr>
        <w:spacing w:after="40"/>
      </w:pPr>
      <w:r>
        <w:rPr>
          <w:rFonts w:ascii="Calibri" w:cs="Calibri" w:eastAsia="Calibri" w:hAnsi="Calibri"/>
          <w:sz w:val="15"/>
          <w:szCs w:val="15"/>
        </w:rPr>
        <w:t xml:space="preserve">Cloud-native queues only</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High throughput, durable logs, replay capability, strong ecosystem.</w:t>
      </w:r>
    </w:p>
    <w:p>
      <w:pPr>
        <w:spacing w:after="80"/>
      </w:pPr>
      <w:r>
        <w:rPr>
          <w:rFonts w:ascii="Calibri" w:cs="Calibri" w:eastAsia="Calibri" w:hAnsi="Calibri"/>
          <w:sz w:val="16"/>
          <w:szCs w:val="16"/>
        </w:rPr>
        <w:t xml:space="preserve">Negative: Operational complexity; requires good monitoring of consumer lag.</w:t>
      </w:r>
    </w:p>
    <w:p>
      <w:pPr>
        <w:pStyle w:val="Heading1"/>
        <w:spacing w:after="140" w:before="280"/>
      </w:pPr>
      <w:r>
        <w:rPr>
          <w:rFonts w:ascii="Calibri" w:cs="Calibri" w:eastAsia="Calibri" w:hAnsi="Calibri"/>
          <w:b/>
          <w:bCs/>
          <w:color w:val="1B4F72"/>
          <w:sz w:val="24"/>
          <w:szCs w:val="24"/>
        </w:rPr>
        <w:t xml:space="preserve">11. ADR-010: Frontend Web Technology</w:t>
      </w:r>
    </w:p>
    <w:p>
      <w:pPr>
        <w:pStyle w:val="Heading2"/>
        <w:spacing w:after="90" w:before="200"/>
      </w:pPr>
      <w:r>
        <w:rPr>
          <w:rFonts w:ascii="Calibri" w:cs="Calibri" w:eastAsia="Calibri" w:hAnsi="Calibri"/>
          <w:b/>
          <w:bCs/>
          <w:color w:val="2874A6"/>
          <w:sz w:val="18"/>
          <w:szCs w:val="18"/>
        </w:rPr>
        <w:t xml:space="preserve">Status</w:t>
      </w:r>
    </w:p>
    <w:p>
      <w:pPr>
        <w:spacing w:after="80"/>
      </w:pPr>
      <w:r>
        <w:rPr>
          <w:rFonts w:ascii="Calibri" w:cs="Calibri" w:eastAsia="Calibri" w:hAnsi="Calibri"/>
          <w:sz w:val="16"/>
          <w:szCs w:val="16"/>
        </w:rPr>
        <w:t xml:space="preserve">Accepted — August 2026</w:t>
      </w:r>
    </w:p>
    <w:p>
      <w:pPr>
        <w:pStyle w:val="Heading2"/>
        <w:spacing w:after="90" w:before="200"/>
      </w:pPr>
      <w:r>
        <w:rPr>
          <w:rFonts w:ascii="Calibri" w:cs="Calibri" w:eastAsia="Calibri" w:hAnsi="Calibri"/>
          <w:b/>
          <w:bCs/>
          <w:color w:val="2874A6"/>
          <w:sz w:val="18"/>
          <w:szCs w:val="18"/>
        </w:rPr>
        <w:t xml:space="preserve">Context</w:t>
      </w:r>
    </w:p>
    <w:p>
      <w:pPr>
        <w:spacing w:after="80"/>
      </w:pPr>
      <w:r>
        <w:rPr>
          <w:rFonts w:ascii="Calibri" w:cs="Calibri" w:eastAsia="Calibri" w:hAnsi="Calibri"/>
          <w:sz w:val="16"/>
          <w:szCs w:val="16"/>
        </w:rPr>
        <w:t xml:space="preserve">Need a modern, SEO-friendly, performant web application for students (especially those without smartphones) and for Admin / Ministry dashboards.</w:t>
      </w:r>
    </w:p>
    <w:p>
      <w:pPr>
        <w:pStyle w:val="Heading2"/>
        <w:spacing w:after="90" w:before="200"/>
      </w:pPr>
      <w:r>
        <w:rPr>
          <w:rFonts w:ascii="Calibri" w:cs="Calibri" w:eastAsia="Calibri" w:hAnsi="Calibri"/>
          <w:b/>
          <w:bCs/>
          <w:color w:val="2874A6"/>
          <w:sz w:val="18"/>
          <w:szCs w:val="18"/>
        </w:rPr>
        <w:t xml:space="preserve">Decision</w:t>
      </w:r>
    </w:p>
    <w:p>
      <w:pPr>
        <w:spacing w:after="80"/>
      </w:pPr>
      <w:r>
        <w:rPr>
          <w:rFonts w:ascii="Calibri" w:cs="Calibri" w:eastAsia="Calibri" w:hAnsi="Calibri"/>
          <w:sz w:val="16"/>
          <w:szCs w:val="16"/>
        </w:rPr>
        <w:t xml:space="preserve">Use Next.js (React) for the web application and admin portals.</w:t>
      </w:r>
    </w:p>
    <w:p>
      <w:pPr>
        <w:pStyle w:val="Heading2"/>
        <w:spacing w:after="90" w:before="200"/>
      </w:pPr>
      <w:r>
        <w:rPr>
          <w:rFonts w:ascii="Calibri" w:cs="Calibri" w:eastAsia="Calibri" w:hAnsi="Calibri"/>
          <w:b/>
          <w:bCs/>
          <w:color w:val="2874A6"/>
          <w:sz w:val="18"/>
          <w:szCs w:val="18"/>
        </w:rPr>
        <w:t xml:space="preserve">Options Considered</w:t>
      </w:r>
    </w:p>
    <w:p>
      <w:pPr>
        <w:pStyle w:val="ListParagraph"/>
        <w:numPr>
          <w:ilvl w:val="0"/>
          <w:numId w:val="2"/>
        </w:numPr>
        <w:spacing w:after="40"/>
      </w:pPr>
      <w:r>
        <w:rPr>
          <w:rFonts w:ascii="Calibri" w:cs="Calibri" w:eastAsia="Calibri" w:hAnsi="Calibri"/>
          <w:sz w:val="15"/>
          <w:szCs w:val="15"/>
        </w:rPr>
        <w:t xml:space="preserve">Next.js / React (Selected)</w:t>
      </w:r>
    </w:p>
    <w:p>
      <w:pPr>
        <w:pStyle w:val="ListParagraph"/>
        <w:numPr>
          <w:ilvl w:val="0"/>
          <w:numId w:val="2"/>
        </w:numPr>
        <w:spacing w:after="40"/>
      </w:pPr>
      <w:r>
        <w:rPr>
          <w:rFonts w:ascii="Calibri" w:cs="Calibri" w:eastAsia="Calibri" w:hAnsi="Calibri"/>
          <w:sz w:val="15"/>
          <w:szCs w:val="15"/>
        </w:rPr>
        <w:t xml:space="preserve">Angular</w:t>
      </w:r>
    </w:p>
    <w:p>
      <w:pPr>
        <w:pStyle w:val="ListParagraph"/>
        <w:numPr>
          <w:ilvl w:val="0"/>
          <w:numId w:val="2"/>
        </w:numPr>
        <w:spacing w:after="40"/>
      </w:pPr>
      <w:r>
        <w:rPr>
          <w:rFonts w:ascii="Calibri" w:cs="Calibri" w:eastAsia="Calibri" w:hAnsi="Calibri"/>
          <w:sz w:val="15"/>
          <w:szCs w:val="15"/>
        </w:rPr>
        <w:t xml:space="preserve">Vue / Nuxt</w:t>
      </w:r>
    </w:p>
    <w:p>
      <w:pPr>
        <w:pStyle w:val="ListParagraph"/>
        <w:numPr>
          <w:ilvl w:val="0"/>
          <w:numId w:val="2"/>
        </w:numPr>
        <w:spacing w:after="40"/>
      </w:pPr>
      <w:r>
        <w:rPr>
          <w:rFonts w:ascii="Calibri" w:cs="Calibri" w:eastAsia="Calibri" w:hAnsi="Calibri"/>
          <w:sz w:val="15"/>
          <w:szCs w:val="15"/>
        </w:rPr>
        <w:t xml:space="preserve">Server-rendered traditional stack</w:t>
      </w:r>
    </w:p>
    <w:p>
      <w:pPr>
        <w:pStyle w:val="Heading2"/>
        <w:spacing w:after="90" w:before="200"/>
      </w:pPr>
      <w:r>
        <w:rPr>
          <w:rFonts w:ascii="Calibri" w:cs="Calibri" w:eastAsia="Calibri" w:hAnsi="Calibri"/>
          <w:b/>
          <w:bCs/>
          <w:color w:val="2874A6"/>
          <w:sz w:val="18"/>
          <w:szCs w:val="18"/>
        </w:rPr>
        <w:t xml:space="preserve">Consequences</w:t>
      </w:r>
    </w:p>
    <w:p>
      <w:pPr>
        <w:spacing w:after="80"/>
      </w:pPr>
      <w:r>
        <w:rPr>
          <w:rFonts w:ascii="Calibri" w:cs="Calibri" w:eastAsia="Calibri" w:hAnsi="Calibri"/>
          <w:sz w:val="16"/>
          <w:szCs w:val="16"/>
        </w:rPr>
        <w:t xml:space="preserve">Positive: Strong ecosystem, SSR/SSG options, shared mental model with mobile (component thinking), good hiring pool.</w:t>
      </w:r>
    </w:p>
    <w:p>
      <w:pPr>
        <w:spacing w:after="80"/>
      </w:pPr>
      <w:r>
        <w:rPr>
          <w:rFonts w:ascii="Calibri" w:cs="Calibri" w:eastAsia="Calibri" w:hAnsi="Calibri"/>
          <w:sz w:val="16"/>
          <w:szCs w:val="16"/>
        </w:rPr>
        <w:t xml:space="preserve">Negative: Requires discipline around bundle size and performance on low-end devices/browsers.</w:t>
      </w:r>
    </w:p>
    <w:p>
      <w:pPr>
        <w:pStyle w:val="Heading1"/>
        <w:spacing w:after="140" w:before="280"/>
      </w:pPr>
      <w:r>
        <w:rPr>
          <w:rFonts w:ascii="Calibri" w:cs="Calibri" w:eastAsia="Calibri" w:hAnsi="Calibri"/>
          <w:b/>
          <w:bCs/>
          <w:color w:val="1B4F72"/>
          <w:sz w:val="24"/>
          <w:szCs w:val="24"/>
        </w:rPr>
        <w:t xml:space="preserve">12. ADR INDEX</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800"/>
        <w:gridCol w:w="1800"/>
      </w:tblGrid>
      <w:tr>
        <w:tc>
          <w:tcPr>
            <w:tcW w:type="dxa" w:w="14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ADR</w:t>
            </w:r>
          </w:p>
        </w:tc>
        <w:tc>
          <w:tcPr>
            <w:tcW w:type="dxa" w:w="52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Title</w:t>
            </w:r>
          </w:p>
        </w:tc>
        <w:tc>
          <w:tcPr>
            <w:tcW w:type="dxa" w:w="1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Status</w:t>
            </w:r>
          </w:p>
        </w:tc>
        <w:tc>
          <w:tcPr>
            <w:tcW w:type="dxa" w:w="1800"/>
            <w:tcBorders>
              <w:top w:val="single" w:color="1B4F72" w:sz="4"/>
              <w:left w:val="single" w:color="1B4F72" w:sz="4"/>
              <w:bottom w:val="single" w:color="1B4F72" w:sz="4"/>
              <w:right w:val="single" w:color="1B4F72" w:sz="4"/>
            </w:tcBorders>
            <w:shd w:fill="1B4F72" w:val="clear"/>
            <w:tcMar>
              <w:top w:type="dxa" w:w="45"/>
              <w:left w:type="dxa" w:w="50"/>
              <w:bottom w:type="dxa" w:w="45"/>
              <w:right w:type="dxa" w:w="50"/>
            </w:tcMar>
            <w:vAlign w:val="center"/>
          </w:tcPr>
          <w:p>
            <w:pPr>
              <w:jc w:val="center"/>
            </w:pPr>
            <w:r>
              <w:rPr>
                <w:rFonts w:ascii="Calibri" w:cs="Calibri" w:eastAsia="Calibri" w:hAnsi="Calibri"/>
                <w:b/>
                <w:bCs/>
                <w:color w:val="FFFFFF"/>
                <w:sz w:val="13"/>
                <w:szCs w:val="13"/>
              </w:rPr>
              <w:t xml:space="preserve">Date</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ADR-001</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Backend Primary Language &amp; Framework</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ADR-002</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Mobile Client Technology (Flutter)</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ADR-003</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Primary Database &amp; Data Stores</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ADR-004</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Hosting &amp; Data Residency (NIC MeghRaj)</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ADR-005</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Authentication Approach</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ADR-006</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Live Class Architecture (Hybrid)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ADR-007</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AI Serving Strategy (Self-hosted)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ADR-008</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API Style &amp; Gateway</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ADR-009</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Message Broker &amp; Async Processing</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r>
        <w:tc>
          <w:tcPr>
            <w:tcW w:type="dxa" w:w="14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bCs/>
                <w:color w:val="000000"/>
                <w:sz w:val="13"/>
                <w:szCs w:val="13"/>
              </w:rPr>
              <w:t xml:space="preserve">ADR-010</w:t>
            </w:r>
          </w:p>
        </w:tc>
        <w:tc>
          <w:tcPr>
            <w:tcW w:type="dxa" w:w="52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Frontend Web Technology (Next.js)</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Accepted</w:t>
            </w:r>
          </w:p>
        </w:tc>
        <w:tc>
          <w:tcPr>
            <w:tcW w:type="dxa" w:w="1800"/>
            <w:tcBorders>
              <w:top w:val="single" w:color="CCCCCC" w:sz="4"/>
              <w:left w:val="single" w:color="CCCCCC" w:sz="4"/>
              <w:bottom w:val="single" w:color="CCCCCC" w:sz="4"/>
              <w:right w:val="single" w:color="CCCCCC" w:sz="4"/>
            </w:tcBorders>
            <w:tcMar>
              <w:top w:type="dxa" w:w="30"/>
              <w:left w:type="dxa" w:w="50"/>
              <w:bottom w:type="dxa" w:w="30"/>
              <w:right w:type="dxa" w:w="50"/>
            </w:tcMar>
            <w:vAlign w:val="center"/>
          </w:tcPr>
          <w:p>
            <w:pPr>
              <w:jc w:val="left"/>
            </w:pPr>
            <w:r>
              <w:rPr>
                <w:rFonts w:ascii="Calibri" w:cs="Calibri" w:eastAsia="Calibri" w:hAnsi="Calibri"/>
                <w:b w:val="false"/>
                <w:bCs w:val="false"/>
                <w:color w:val="000000"/>
                <w:sz w:val="13"/>
                <w:szCs w:val="13"/>
              </w:rPr>
              <w:t xml:space="preserve">Aug 2026</w:t>
            </w:r>
          </w:p>
        </w:tc>
      </w:tr>
    </w:tbl>
    <w:p>
      <w:pPr>
        <w:pStyle w:val="Heading1"/>
        <w:spacing w:after="140" w:before="280"/>
      </w:pPr>
      <w:r>
        <w:rPr>
          <w:rFonts w:ascii="Calibri" w:cs="Calibri" w:eastAsia="Calibri" w:hAnsi="Calibri"/>
          <w:b/>
          <w:bCs/>
          <w:color w:val="1B4F72"/>
          <w:sz w:val="24"/>
          <w:szCs w:val="24"/>
        </w:rPr>
        <w:t xml:space="preserve">13. FUTURE ADRs (EXPECTED)</w:t>
      </w:r>
    </w:p>
    <w:p>
      <w:pPr>
        <w:pStyle w:val="ListParagraph"/>
        <w:numPr>
          <w:ilvl w:val="0"/>
          <w:numId w:val="2"/>
        </w:numPr>
        <w:spacing w:after="40"/>
      </w:pPr>
      <w:r>
        <w:rPr>
          <w:rFonts w:ascii="Calibri" w:cs="Calibri" w:eastAsia="Calibri" w:hAnsi="Calibri"/>
          <w:sz w:val="15"/>
          <w:szCs w:val="15"/>
        </w:rPr>
        <w:t xml:space="preserve">ADR-011: Feature Flag system selection</w:t>
      </w:r>
    </w:p>
    <w:p>
      <w:pPr>
        <w:pStyle w:val="ListParagraph"/>
        <w:numPr>
          <w:ilvl w:val="0"/>
          <w:numId w:val="2"/>
        </w:numPr>
        <w:spacing w:after="40"/>
      </w:pPr>
      <w:r>
        <w:rPr>
          <w:rFonts w:ascii="Calibri" w:cs="Calibri" w:eastAsia="Calibri" w:hAnsi="Calibri"/>
          <w:sz w:val="15"/>
          <w:szCs w:val="15"/>
        </w:rPr>
        <w:t xml:space="preserve">ADR-012: Exact LiveKit vs Agora (or other) choice</w:t>
      </w:r>
    </w:p>
    <w:p>
      <w:pPr>
        <w:pStyle w:val="ListParagraph"/>
        <w:numPr>
          <w:ilvl w:val="0"/>
          <w:numId w:val="2"/>
        </w:numPr>
        <w:spacing w:after="40"/>
      </w:pPr>
      <w:r>
        <w:rPr>
          <w:rFonts w:ascii="Calibri" w:cs="Calibri" w:eastAsia="Calibri" w:hAnsi="Calibri"/>
          <w:sz w:val="15"/>
          <w:szCs w:val="15"/>
        </w:rPr>
        <w:t xml:space="preserve">ADR-013: Object storage &amp; CDN configuration on NIC</w:t>
      </w:r>
    </w:p>
    <w:p>
      <w:pPr>
        <w:pStyle w:val="ListParagraph"/>
        <w:numPr>
          <w:ilvl w:val="0"/>
          <w:numId w:val="2"/>
        </w:numPr>
        <w:spacing w:after="40"/>
      </w:pPr>
      <w:r>
        <w:rPr>
          <w:rFonts w:ascii="Calibri" w:cs="Calibri" w:eastAsia="Calibri" w:hAnsi="Calibri"/>
          <w:sz w:val="15"/>
          <w:szCs w:val="15"/>
        </w:rPr>
        <w:t xml:space="preserve">ADR-014: Observability backend finalisation (Loki vs OpenSearch)</w:t>
      </w:r>
    </w:p>
    <w:p>
      <w:pPr>
        <w:pStyle w:val="ListParagraph"/>
        <w:numPr>
          <w:ilvl w:val="0"/>
          <w:numId w:val="2"/>
        </w:numPr>
        <w:spacing w:after="40"/>
      </w:pPr>
      <w:r>
        <w:rPr>
          <w:rFonts w:ascii="Calibri" w:cs="Calibri" w:eastAsia="Calibri" w:hAnsi="Calibri"/>
          <w:sz w:val="15"/>
          <w:szCs w:val="15"/>
        </w:rPr>
        <w:t xml:space="preserve">ADR-015: Secret management solution</w:t>
      </w:r>
    </w:p>
    <w:p>
      <w:pPr>
        <w:pStyle w:val="ListParagraph"/>
        <w:numPr>
          <w:ilvl w:val="0"/>
          <w:numId w:val="2"/>
        </w:numPr>
        <w:spacing w:after="40"/>
      </w:pPr>
      <w:r>
        <w:rPr>
          <w:rFonts w:ascii="Calibri" w:cs="Calibri" w:eastAsia="Calibri" w:hAnsi="Calibri"/>
          <w:sz w:val="15"/>
          <w:szCs w:val="15"/>
        </w:rPr>
        <w:t xml:space="preserve">ADR-016: Multi-tenancy / state-level isolation model (if required)</w:t>
      </w:r>
    </w:p>
    <w:p>
      <w:pPr>
        <w:pStyle w:val="ListParagraph"/>
        <w:numPr>
          <w:ilvl w:val="0"/>
          <w:numId w:val="2"/>
        </w:numPr>
        <w:spacing w:after="40"/>
      </w:pPr>
      <w:r>
        <w:rPr>
          <w:rFonts w:ascii="Calibri" w:cs="Calibri" w:eastAsia="Calibri" w:hAnsi="Calibri"/>
          <w:sz w:val="15"/>
          <w:szCs w:val="15"/>
        </w:rPr>
        <w:t xml:space="preserve">ADR-017: Detailed partitioning strategy for attempts/answers tables</w:t>
      </w:r>
    </w:p>
    <w:p>
      <w:pPr>
        <w:spacing w:after="160"/>
      </w:pPr>
    </w:p>
    <w:p>
      <w:pPr>
        <w:jc w:val="center"/>
      </w:pPr>
      <w:r>
        <w:rPr>
          <w:rFonts w:ascii="Calibri" w:cs="Calibri" w:eastAsia="Calibri" w:hAnsi="Calibri"/>
          <w:i/>
          <w:iCs/>
          <w:color w:val="666666"/>
          <w:sz w:val="14"/>
          <w:szCs w:val="14"/>
        </w:rPr>
        <w:t xml:space="preserve">— End of Architecture Decision Records (Baseline) —</w:t>
      </w:r>
    </w:p>
    <w:p>
      <w:pPr>
        <w:spacing w:before="40"/>
        <w:jc w:val="center"/>
      </w:pPr>
      <w:r>
        <w:rPr>
          <w:rFonts w:ascii="Calibri" w:cs="Calibri" w:eastAsia="Calibri" w:hAnsi="Calibri"/>
          <w:color w:val="888888"/>
          <w:sz w:val="12"/>
          <w:szCs w:val="12"/>
        </w:rPr>
        <w:t xml:space="preserve">ParikshaSetu ADRs v1.0  |  August 2026  |  Living Document  |  Confidential</w:t>
      </w:r>
    </w:p>
    <w:sectPr>
      <w:headerReference w:type="default" r:id="rId7"/>
      <w:footerReference w:type="default" r:id="rId8"/>
      <w:pgSz w:w="12240" w:h="15840" w:orient="portrait"/>
      <w:pgMar w:top="1008" w:right="860" w:bottom="1008"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4"/>
      </w:pBdr>
      <w:spacing w:before="50"/>
    </w:pPr>
    <w:r>
      <w:rPr>
        <w:rFonts w:ascii="Calibri" w:cs="Calibri" w:eastAsia="Calibri" w:hAnsi="Calibri"/>
        <w:color w:val="666666"/>
        <w:sz w:val="11"/>
        <w:szCs w:val="11"/>
      </w:rPr>
      <w:t xml:space="preserve">Ministry of Education, Government of India  |  Internal Use Only</w:t>
    </w:r>
    <w:r>
      <w:rPr>
        <w:sz w:val="11"/>
        <w:szCs w:val="11"/>
      </w:rPr>
      <w:t xml:space="preserve">                                              </w:t>
    </w:r>
    <w:r>
      <w:rPr>
        <w:rFonts w:ascii="Calibri" w:cs="Calibri" w:eastAsia="Calibri" w:hAnsi="Calibri"/>
        <w:color w:val="666666"/>
        <w:sz w:val="11"/>
        <w:szCs w:val="11"/>
      </w:rPr>
      <w:t xml:space="preserve">Page </w:t>
    </w:r>
    <w:r>
      <w:rPr>
        <w:rFonts w:ascii="Calibri" w:cs="Calibri" w:eastAsia="Calibri" w:hAnsi="Calibri"/>
        <w:color w:val="666666"/>
        <w:sz w:val="11"/>
        <w:szCs w:val="11"/>
      </w:rPr>
      <w:fldChar w:fldCharType="begin"/>
      <w:instrText xml:space="preserve">PAGE</w:instrText>
      <w:fldChar w:fldCharType="separate"/>
      <w:fldChar w:fldCharType="end"/>
    </w:r>
    <w:r>
      <w:rPr>
        <w:rFonts w:ascii="Calibri" w:cs="Calibri" w:eastAsia="Calibri" w:hAnsi="Calibri"/>
        <w:color w:val="666666"/>
        <w:sz w:val="11"/>
        <w:szCs w:val="11"/>
      </w:rPr>
      <w:t xml:space="preserve"> of </w:t>
    </w:r>
    <w:r>
      <w:rPr>
        <w:rFonts w:ascii="Calibri" w:cs="Calibri" w:eastAsia="Calibri" w:hAnsi="Calibri"/>
        <w:color w:val="666666"/>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12" w:space="4"/>
      </w:pBdr>
      <w:spacing w:after="70"/>
    </w:pPr>
    <w:r>
      <w:rPr>
        <w:rFonts w:ascii="Calibri" w:cs="Calibri" w:eastAsia="Calibri" w:hAnsi="Calibri"/>
        <w:b/>
        <w:bCs/>
        <w:color w:val="1B4F72"/>
        <w:sz w:val="12"/>
        <w:szCs w:val="12"/>
      </w:rPr>
      <w:t xml:space="preserve">ParikshaSetu  |  Architecture Decision Records (ADRs)</w:t>
    </w:r>
    <w:r>
      <w:rPr>
        <w:sz w:val="12"/>
        <w:szCs w:val="12"/>
      </w:rPr>
      <w:t xml:space="preserve">                                              </w:t>
    </w:r>
    <w:r>
      <w:rPr>
        <w:rFonts w:ascii="Calibri" w:cs="Calibri" w:eastAsia="Calibri" w:hAnsi="Calibri"/>
        <w:i/>
        <w:iCs/>
        <w:color w:val="C0392B"/>
        <w:sz w:val="12"/>
        <w:szCs w:val="12"/>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6"/>
        <w:szCs w:val="1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B4F72"/>
      <w:sz w:val="24"/>
      <w:szCs w:val="24"/>
    </w:rPr>
  </w:style>
  <w:style w:type="paragraph" w:styleId="Heading2">
    <w:name w:val="Heading 2"/>
    <w:basedOn w:val="Normal"/>
    <w:next w:val="Normal"/>
    <w:qFormat/>
    <w:pPr>
      <w:spacing w:after="90" w:before="200"/>
      <w:outlineLvl w:val="1"/>
    </w:pPr>
    <w:rPr>
      <w:rFonts w:ascii="Calibri" w:cs="Calibri" w:eastAsia="Calibri" w:hAnsi="Calibri"/>
      <w:b/>
      <w:bCs/>
      <w:color w:val="2874A6"/>
      <w:sz w:val="18"/>
      <w:szCs w:val="18"/>
    </w:rPr>
  </w:style>
  <w:style w:type="paragraph" w:styleId="Heading3">
    <w:name w:val="Heading 3"/>
    <w:basedOn w:val="Normal"/>
    <w:next w:val="Normal"/>
    <w:qFormat/>
    <w:pPr>
      <w:spacing w:after="60" w:before="140"/>
      <w:outlineLvl w:val="2"/>
    </w:pPr>
    <w:rPr>
      <w:rFonts w:ascii="Calibri" w:cs="Calibri" w:eastAsia="Calibri" w:hAnsi="Calibri"/>
      <w:b/>
      <w:bCs/>
      <w:color w:val="1A5276"/>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2026-08-19T06:40:10.558Z</dcterms:created>
  <dcterms:modified xsi:type="dcterms:W3CDTF">2026-08-19T06:40:10.558Z</dcterms:modified>
</cp:coreProperties>
</file>

<file path=docProps/custom.xml><?xml version="1.0" encoding="utf-8"?>
<Properties xmlns="http://schemas.openxmlformats.org/officeDocument/2006/custom-properties" xmlns:vt="http://schemas.openxmlformats.org/officeDocument/2006/docPropsVTypes"/>
</file>