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pPr>
    </w:p>
    <w:p>
      <w:pPr>
        <w:spacing w:after="60"/>
        <w:jc w:val="center"/>
      </w:pPr>
      <w:r>
        <w:rPr>
          <w:rFonts w:ascii="Calibri" w:cs="Calibri" w:eastAsia="Calibri" w:hAnsi="Calibri"/>
          <w:b/>
          <w:bCs/>
          <w:color w:val="1B4F72"/>
          <w:sz w:val="38"/>
          <w:szCs w:val="38"/>
        </w:rPr>
        <w:t xml:space="preserve">ParikshaSetu</w:t>
      </w:r>
    </w:p>
    <w:p>
      <w:pPr>
        <w:spacing w:after="40"/>
        <w:jc w:val="center"/>
      </w:pPr>
      <w:r>
        <w:rPr>
          <w:rFonts w:ascii="Calibri" w:cs="Calibri" w:eastAsia="Calibri" w:hAnsi="Calibri"/>
          <w:color w:val="2874A6"/>
          <w:sz w:val="17"/>
          <w:szCs w:val="17"/>
        </w:rPr>
        <w:t xml:space="preserve">National Free Competitive Exam Coaching Platform</w:t>
      </w:r>
    </w:p>
    <w:p>
      <w:pPr>
        <w:spacing w:after="100"/>
      </w:pPr>
    </w:p>
    <w:p>
      <w:pPr>
        <w:pBdr>
          <w:bottom w:val="single" w:color="1B4F72" w:sz="14" w:space="1"/>
        </w:pBdr>
        <w:spacing w:after="100"/>
        <w:jc w:val="center"/>
      </w:pPr>
      <w:r>
        <w:rPr>
          <w:rFonts w:ascii="Calibri" w:cs="Calibri" w:eastAsia="Calibri" w:hAnsi="Calibri"/>
          <w:b/>
          <w:bCs/>
          <w:color w:val="1B4F72"/>
          <w:sz w:val="26"/>
          <w:szCs w:val="26"/>
        </w:rPr>
        <w:t xml:space="preserve">DATA PRIVACY &amp; COMPLIANCE</w:t>
      </w:r>
    </w:p>
    <w:p>
      <w:pPr>
        <w:spacing w:after="20"/>
        <w:jc w:val="center"/>
      </w:pPr>
      <w:r>
        <w:rPr>
          <w:rFonts w:ascii="Calibri" w:cs="Calibri" w:eastAsia="Calibri" w:hAnsi="Calibri"/>
          <w:b/>
          <w:bCs/>
          <w:color w:val="1B4F72"/>
          <w:sz w:val="24"/>
          <w:szCs w:val="24"/>
        </w:rPr>
        <w:t xml:space="preserve">DOCUMENT</w:t>
      </w:r>
    </w:p>
    <w:p>
      <w:pPr>
        <w:spacing w:after="30"/>
        <w:jc w:val="center"/>
      </w:pPr>
      <w:r>
        <w:rPr>
          <w:rFonts w:ascii="Calibri" w:cs="Calibri" w:eastAsia="Calibri" w:hAnsi="Calibri"/>
          <w:color w:val="555555"/>
          <w:sz w:val="14"/>
          <w:szCs w:val="14"/>
        </w:rPr>
        <w:t xml:space="preserve">DPDP Act 2023 Alignment • Data Protection • Rights of Data Principals</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Document Version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v1.0 — Initial Release</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Document Status</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Draft — For Legal, Security &amp; Ministry Review</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Primary Regulation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Digital Personal Data Protection Act, 2023</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Based 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PRD + TRD + SAD + Security Architecture + DDD</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Date</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19 August 2026</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Classification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Confidential — Government Submission</w:t>
            </w:r>
          </w:p>
        </w:tc>
      </w:tr>
    </w:tbl>
    <w:p>
      <w:pPr>
        <w:spacing w:after="180"/>
      </w:pPr>
    </w:p>
    <w:p>
      <w:pPr>
        <w:jc w:val="center"/>
      </w:pPr>
      <w:r>
        <w:rPr>
          <w:rFonts w:ascii="Calibri" w:cs="Calibri" w:eastAsia="Calibri" w:hAnsi="Calibri"/>
          <w:i/>
          <w:iCs/>
          <w:color w:val="555555"/>
          <w:sz w:val="14"/>
          <w:szCs w:val="14"/>
        </w:rPr>
        <w:t xml:space="preserve">"Protecting every student's data with the highest standards of trust and transparency"</w:t>
      </w:r>
    </w:p>
    <w:p>
      <w:r>
        <w:br w:type="page"/>
      </w:r>
    </w:p>
    <w:p>
      <w:pPr>
        <w:pStyle w:val="Heading1"/>
        <w:spacing w:after="140" w:before="280"/>
      </w:pPr>
      <w:r>
        <w:rPr>
          <w:rFonts w:ascii="Calibri" w:cs="Calibri" w:eastAsia="Calibri" w:hAnsi="Calibri"/>
          <w:b/>
          <w:bCs/>
          <w:color w:val="1B4F72"/>
          <w:sz w:val="24"/>
          <w:szCs w:val="24"/>
        </w:rPr>
        <w:t xml:space="preserve">1. INTRODUCTION</w:t>
      </w:r>
    </w:p>
    <w:p>
      <w:pPr>
        <w:pStyle w:val="Heading2"/>
        <w:spacing w:after="90" w:before="200"/>
      </w:pPr>
      <w:r>
        <w:rPr>
          <w:rFonts w:ascii="Calibri" w:cs="Calibri" w:eastAsia="Calibri" w:hAnsi="Calibri"/>
          <w:b/>
          <w:bCs/>
          <w:color w:val="2874A6"/>
          <w:sz w:val="18"/>
          <w:szCs w:val="18"/>
        </w:rPr>
        <w:t xml:space="preserve">1.1 Purpose</w:t>
      </w:r>
    </w:p>
    <w:p>
      <w:pPr>
        <w:spacing w:after="80"/>
      </w:pPr>
      <w:r>
        <w:rPr>
          <w:rFonts w:ascii="Calibri" w:cs="Calibri" w:eastAsia="Calibri" w:hAnsi="Calibri"/>
          <w:sz w:val="16"/>
          <w:szCs w:val="16"/>
        </w:rPr>
        <w:t xml:space="preserve">This Data Privacy &amp; Compliance Document defines how ParikshaSetu collects, processes, stores, shares, and protects personal data of students, teachers, mentors, and other users in accordance with the Digital Personal Data Protection Act, 2023 (DPDP Act) and applicable government guidelines. It also outlines the rights of Data Principals and the obligations of the platform as a Data Fiduciary.</w:t>
      </w:r>
    </w:p>
    <w:p>
      <w:pPr>
        <w:pStyle w:val="Heading2"/>
        <w:spacing w:after="90" w:before="200"/>
      </w:pPr>
      <w:r>
        <w:rPr>
          <w:rFonts w:ascii="Calibri" w:cs="Calibri" w:eastAsia="Calibri" w:hAnsi="Calibri"/>
          <w:b/>
          <w:bCs/>
          <w:color w:val="2874A6"/>
          <w:sz w:val="18"/>
          <w:szCs w:val="18"/>
        </w:rPr>
        <w:t xml:space="preserve">1.2 Scope</w:t>
      </w:r>
    </w:p>
    <w:p>
      <w:pPr>
        <w:pStyle w:val="ListParagraph"/>
        <w:numPr>
          <w:ilvl w:val="0"/>
          <w:numId w:val="2"/>
        </w:numPr>
        <w:spacing w:after="40"/>
      </w:pPr>
      <w:r>
        <w:rPr>
          <w:rFonts w:ascii="Calibri" w:cs="Calibri" w:eastAsia="Calibri" w:hAnsi="Calibri"/>
          <w:sz w:val="15"/>
          <w:szCs w:val="15"/>
        </w:rPr>
        <w:t xml:space="preserve">All personal data processed by ParikshaSetu (students, teachers, mentors, admins, parents)</w:t>
      </w:r>
    </w:p>
    <w:p>
      <w:pPr>
        <w:pStyle w:val="ListParagraph"/>
        <w:numPr>
          <w:ilvl w:val="0"/>
          <w:numId w:val="2"/>
        </w:numPr>
        <w:spacing w:after="40"/>
      </w:pPr>
      <w:r>
        <w:rPr>
          <w:rFonts w:ascii="Calibri" w:cs="Calibri" w:eastAsia="Calibri" w:hAnsi="Calibri"/>
          <w:sz w:val="15"/>
          <w:szCs w:val="15"/>
        </w:rPr>
        <w:t xml:space="preserve">Alignment with DPDP Act 2023 principles and obligations</w:t>
      </w:r>
    </w:p>
    <w:p>
      <w:pPr>
        <w:pStyle w:val="ListParagraph"/>
        <w:numPr>
          <w:ilvl w:val="0"/>
          <w:numId w:val="2"/>
        </w:numPr>
        <w:spacing w:after="40"/>
      </w:pPr>
      <w:r>
        <w:rPr>
          <w:rFonts w:ascii="Calibri" w:cs="Calibri" w:eastAsia="Calibri" w:hAnsi="Calibri"/>
          <w:sz w:val="15"/>
          <w:szCs w:val="15"/>
        </w:rPr>
        <w:t xml:space="preserve">Data minimisation, purpose limitation, storage limitation</w:t>
      </w:r>
    </w:p>
    <w:p>
      <w:pPr>
        <w:pStyle w:val="ListParagraph"/>
        <w:numPr>
          <w:ilvl w:val="0"/>
          <w:numId w:val="2"/>
        </w:numPr>
        <w:spacing w:after="40"/>
      </w:pPr>
      <w:r>
        <w:rPr>
          <w:rFonts w:ascii="Calibri" w:cs="Calibri" w:eastAsia="Calibri" w:hAnsi="Calibri"/>
          <w:sz w:val="15"/>
          <w:szCs w:val="15"/>
        </w:rPr>
        <w:t xml:space="preserve">Consent management and parental consent for minors</w:t>
      </w:r>
    </w:p>
    <w:p>
      <w:pPr>
        <w:pStyle w:val="ListParagraph"/>
        <w:numPr>
          <w:ilvl w:val="0"/>
          <w:numId w:val="2"/>
        </w:numPr>
        <w:spacing w:after="40"/>
      </w:pPr>
      <w:r>
        <w:rPr>
          <w:rFonts w:ascii="Calibri" w:cs="Calibri" w:eastAsia="Calibri" w:hAnsi="Calibri"/>
          <w:sz w:val="15"/>
          <w:szCs w:val="15"/>
        </w:rPr>
        <w:t xml:space="preserve">Data Principal rights (access, correction, erasure, data portability)</w:t>
      </w:r>
    </w:p>
    <w:p>
      <w:pPr>
        <w:pStyle w:val="ListParagraph"/>
        <w:numPr>
          <w:ilvl w:val="0"/>
          <w:numId w:val="2"/>
        </w:numPr>
        <w:spacing w:after="40"/>
      </w:pPr>
      <w:r>
        <w:rPr>
          <w:rFonts w:ascii="Calibri" w:cs="Calibri" w:eastAsia="Calibri" w:hAnsi="Calibri"/>
          <w:sz w:val="15"/>
          <w:szCs w:val="15"/>
        </w:rPr>
        <w:t xml:space="preserve">Cross-border transfer restrictions (data localisation)</w:t>
      </w:r>
    </w:p>
    <w:p>
      <w:pPr>
        <w:pStyle w:val="ListParagraph"/>
        <w:numPr>
          <w:ilvl w:val="0"/>
          <w:numId w:val="2"/>
        </w:numPr>
        <w:spacing w:after="40"/>
      </w:pPr>
      <w:r>
        <w:rPr>
          <w:rFonts w:ascii="Calibri" w:cs="Calibri" w:eastAsia="Calibri" w:hAnsi="Calibri"/>
          <w:sz w:val="15"/>
          <w:szCs w:val="15"/>
        </w:rPr>
        <w:t xml:space="preserve">Data Protection Impact considerations</w:t>
      </w:r>
    </w:p>
    <w:p>
      <w:pPr>
        <w:pStyle w:val="ListParagraph"/>
        <w:numPr>
          <w:ilvl w:val="0"/>
          <w:numId w:val="2"/>
        </w:numPr>
        <w:spacing w:after="40"/>
      </w:pPr>
      <w:r>
        <w:rPr>
          <w:rFonts w:ascii="Calibri" w:cs="Calibri" w:eastAsia="Calibri" w:hAnsi="Calibri"/>
          <w:sz w:val="15"/>
          <w:szCs w:val="15"/>
        </w:rPr>
        <w:t xml:space="preserve">Breach notification readiness</w:t>
      </w:r>
    </w:p>
    <w:p>
      <w:pPr>
        <w:pStyle w:val="Heading2"/>
        <w:spacing w:after="90" w:before="200"/>
      </w:pPr>
      <w:r>
        <w:rPr>
          <w:rFonts w:ascii="Calibri" w:cs="Calibri" w:eastAsia="Calibri" w:hAnsi="Calibri"/>
          <w:b/>
          <w:bCs/>
          <w:color w:val="2874A6"/>
          <w:sz w:val="18"/>
          <w:szCs w:val="18"/>
        </w:rPr>
        <w:t xml:space="preserve">1.3 Key Roles under DPDP</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c>
          <w:tcPr>
            <w:tcW w:type="dxa" w:w="2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Role</w:t>
            </w:r>
          </w:p>
        </w:tc>
        <w:tc>
          <w:tcPr>
            <w:tcW w:type="dxa" w:w="7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Who in ParikshaSetu Context</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Data Principal</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Student, Teacher, Mentor, Parent (for minors), Ministry users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Data Fiduciary</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ParikshaSetu platform operator / implementing agency under Ministry of Education</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Data Processor</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Any third-party service provider processing data on behalf of the platform (strictly controlled)</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Consent Manager</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Platform mechanisms + any registered Consent Manager if integrated in future</w:t>
            </w:r>
          </w:p>
        </w:tc>
      </w:tr>
    </w:tbl>
    <w:p>
      <w:pPr>
        <w:pStyle w:val="Heading1"/>
        <w:spacing w:after="140" w:before="280"/>
      </w:pPr>
      <w:r>
        <w:rPr>
          <w:rFonts w:ascii="Calibri" w:cs="Calibri" w:eastAsia="Calibri" w:hAnsi="Calibri"/>
          <w:b/>
          <w:bCs/>
          <w:color w:val="1B4F72"/>
          <w:sz w:val="24"/>
          <w:szCs w:val="24"/>
        </w:rPr>
        <w:t xml:space="preserve">2. PERSONAL DATA INVENTORY</w:t>
      </w:r>
    </w:p>
    <w:p>
      <w:pPr>
        <w:pStyle w:val="Heading2"/>
        <w:spacing w:after="90" w:before="200"/>
      </w:pPr>
      <w:r>
        <w:rPr>
          <w:rFonts w:ascii="Calibri" w:cs="Calibri" w:eastAsia="Calibri" w:hAnsi="Calibri"/>
          <w:b/>
          <w:bCs/>
          <w:color w:val="2874A6"/>
          <w:sz w:val="18"/>
          <w:szCs w:val="18"/>
        </w:rPr>
        <w:t xml:space="preserve">2.1 Categories of Personal Data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500"/>
        <w:gridCol w:w="2500"/>
      </w:tblGrid>
      <w:tr>
        <w:tc>
          <w:tcPr>
            <w:tcW w:type="dxa" w:w="26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Category</w:t>
            </w:r>
          </w:p>
        </w:tc>
        <w:tc>
          <w:tcPr>
            <w:tcW w:type="dxa" w:w="2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Examples</w:t>
            </w:r>
          </w:p>
        </w:tc>
        <w:tc>
          <w:tcPr>
            <w:tcW w:type="dxa" w:w="25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Sensitivity</w:t>
            </w:r>
          </w:p>
        </w:tc>
        <w:tc>
          <w:tcPr>
            <w:tcW w:type="dxa" w:w="25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Source</w:t>
            </w:r>
          </w:p>
        </w:tc>
      </w:tr>
      <w:tr>
        <w:tc>
          <w:tcPr>
            <w:tcW w:type="dxa" w:w="2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Identity Data</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Name, Mobile, Email, DOB, Gender</w:t>
            </w:r>
          </w:p>
        </w:tc>
        <w:tc>
          <w:tcPr>
            <w:tcW w:type="dxa" w:w="2500"/>
            <w:tcBorders>
              <w:top w:val="single" w:color="CCCCCC" w:sz="4"/>
              <w:left w:val="single" w:color="CCCCCC" w:sz="4"/>
              <w:bottom w:val="single" w:color="CCCCCC" w:sz="4"/>
              <w:right w:val="single" w:color="CCCCCC" w:sz="4"/>
            </w:tcBorders>
            <w:shd w:fill="F5B7B1"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High</w:t>
            </w:r>
          </w:p>
        </w:tc>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User registration</w:t>
            </w:r>
          </w:p>
        </w:tc>
      </w:tr>
      <w:tr>
        <w:tc>
          <w:tcPr>
            <w:tcW w:type="dxa" w:w="2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Location Data</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State, District, Pincode</w:t>
            </w:r>
          </w:p>
        </w:tc>
        <w:tc>
          <w:tcPr>
            <w:tcW w:type="dxa" w:w="2500"/>
            <w:tcBorders>
              <w:top w:val="single" w:color="CCCCCC" w:sz="4"/>
              <w:left w:val="single" w:color="CCCCCC" w:sz="4"/>
              <w:bottom w:val="single" w:color="CCCCCC" w:sz="4"/>
              <w:right w:val="single" w:color="CCCCCC" w:sz="4"/>
            </w:tcBorders>
            <w:shd w:fill="F9E79F"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Medium</w:t>
            </w:r>
          </w:p>
        </w:tc>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User input</w:t>
            </w:r>
          </w:p>
        </w:tc>
      </w:tr>
      <w:tr>
        <w:tc>
          <w:tcPr>
            <w:tcW w:type="dxa" w:w="2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Education / Goal Data</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Target exam, education level, study plan</w:t>
            </w:r>
          </w:p>
        </w:tc>
        <w:tc>
          <w:tcPr>
            <w:tcW w:type="dxa" w:w="2500"/>
            <w:tcBorders>
              <w:top w:val="single" w:color="CCCCCC" w:sz="4"/>
              <w:left w:val="single" w:color="CCCCCC" w:sz="4"/>
              <w:bottom w:val="single" w:color="CCCCCC" w:sz="4"/>
              <w:right w:val="single" w:color="CCCCCC" w:sz="4"/>
            </w:tcBorders>
            <w:shd w:fill="F9E79F"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Medium</w:t>
            </w:r>
          </w:p>
        </w:tc>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User input + system</w:t>
            </w:r>
          </w:p>
        </w:tc>
      </w:tr>
      <w:tr>
        <w:tc>
          <w:tcPr>
            <w:tcW w:type="dxa" w:w="2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Performance Data</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Test scores, attempts, weakness map, readiness score</w:t>
            </w:r>
          </w:p>
        </w:tc>
        <w:tc>
          <w:tcPr>
            <w:tcW w:type="dxa" w:w="2500"/>
            <w:tcBorders>
              <w:top w:val="single" w:color="CCCCCC" w:sz="4"/>
              <w:left w:val="single" w:color="CCCCCC" w:sz="4"/>
              <w:bottom w:val="single" w:color="CCCCCC" w:sz="4"/>
              <w:right w:val="single" w:color="CCCCCC" w:sz="4"/>
            </w:tcBorders>
            <w:shd w:fill="F5B7B1"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High</w:t>
            </w:r>
          </w:p>
        </w:tc>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Platform activity</w:t>
            </w:r>
          </w:p>
        </w:tc>
      </w:tr>
      <w:tr>
        <w:tc>
          <w:tcPr>
            <w:tcW w:type="dxa" w:w="2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Device &amp; Technical</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Device token, app version, IP (transient)</w:t>
            </w:r>
          </w:p>
        </w:tc>
        <w:tc>
          <w:tcPr>
            <w:tcW w:type="dxa" w:w="2500"/>
            <w:tcBorders>
              <w:top w:val="single" w:color="CCCCCC" w:sz="4"/>
              <w:left w:val="single" w:color="CCCCCC" w:sz="4"/>
              <w:bottom w:val="single" w:color="CCCCCC" w:sz="4"/>
              <w:right w:val="single" w:color="CCCCCC" w:sz="4"/>
            </w:tcBorders>
            <w:shd w:fill="F9E79F"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Medium</w:t>
            </w:r>
          </w:p>
        </w:tc>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App / system</w:t>
            </w:r>
          </w:p>
        </w:tc>
      </w:tr>
      <w:tr>
        <w:tc>
          <w:tcPr>
            <w:tcW w:type="dxa" w:w="2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Communication Data</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Notification preferences, support tickets</w:t>
            </w:r>
          </w:p>
        </w:tc>
        <w:tc>
          <w:tcPr>
            <w:tcW w:type="dxa" w:w="2500"/>
            <w:tcBorders>
              <w:top w:val="single" w:color="CCCCCC" w:sz="4"/>
              <w:left w:val="single" w:color="CCCCCC" w:sz="4"/>
              <w:bottom w:val="single" w:color="CCCCCC" w:sz="4"/>
              <w:right w:val="single" w:color="CCCCCC" w:sz="4"/>
            </w:tcBorders>
            <w:shd w:fill="F9E79F"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Medium</w:t>
            </w:r>
          </w:p>
        </w:tc>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User + system</w:t>
            </w:r>
          </w:p>
        </w:tc>
      </w:tr>
      <w:tr>
        <w:tc>
          <w:tcPr>
            <w:tcW w:type="dxa" w:w="2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Verification Status</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DigiLocker / eKYC verified flag</w:t>
            </w:r>
          </w:p>
        </w:tc>
        <w:tc>
          <w:tcPr>
            <w:tcW w:type="dxa" w:w="2500"/>
            <w:tcBorders>
              <w:top w:val="single" w:color="CCCCCC" w:sz="4"/>
              <w:left w:val="single" w:color="CCCCCC" w:sz="4"/>
              <w:bottom w:val="single" w:color="CCCCCC" w:sz="4"/>
              <w:right w:val="single" w:color="CCCCCC" w:sz="4"/>
            </w:tcBorders>
            <w:shd w:fill="F9E79F"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Medium</w:t>
            </w:r>
          </w:p>
        </w:tc>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DigiLocker / UIDAI gateway</w:t>
            </w:r>
          </w:p>
        </w:tc>
      </w:tr>
      <w:tr>
        <w:tc>
          <w:tcPr>
            <w:tcW w:type="dxa" w:w="2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Parental Data (minors)</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Parent mobile, consent timestamp</w:t>
            </w:r>
          </w:p>
        </w:tc>
        <w:tc>
          <w:tcPr>
            <w:tcW w:type="dxa" w:w="2500"/>
            <w:tcBorders>
              <w:top w:val="single" w:color="CCCCCC" w:sz="4"/>
              <w:left w:val="single" w:color="CCCCCC" w:sz="4"/>
              <w:bottom w:val="single" w:color="CCCCCC" w:sz="4"/>
              <w:right w:val="single" w:color="CCCCCC" w:sz="4"/>
            </w:tcBorders>
            <w:shd w:fill="F5B7B1"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High</w:t>
            </w:r>
          </w:p>
        </w:tc>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Registration flow</w:t>
            </w:r>
          </w:p>
        </w:tc>
      </w:tr>
    </w:tbl>
    <w:p>
      <w:pPr>
        <w:pStyle w:val="Heading2"/>
        <w:spacing w:after="90" w:before="200"/>
      </w:pPr>
      <w:r>
        <w:rPr>
          <w:rFonts w:ascii="Calibri" w:cs="Calibri" w:eastAsia="Calibri" w:hAnsi="Calibri"/>
          <w:b/>
          <w:bCs/>
          <w:color w:val="2874A6"/>
          <w:sz w:val="18"/>
          <w:szCs w:val="18"/>
        </w:rPr>
        <w:t xml:space="preserve">2.2 Data Explicitly NOT Collected / Stored</w:t>
      </w:r>
    </w:p>
    <w:p>
      <w:pPr>
        <w:pStyle w:val="ListParagraph"/>
        <w:numPr>
          <w:ilvl w:val="0"/>
          <w:numId w:val="2"/>
        </w:numPr>
        <w:spacing w:after="40"/>
      </w:pPr>
      <w:r>
        <w:rPr>
          <w:rFonts w:ascii="Calibri" w:cs="Calibri" w:eastAsia="Calibri" w:hAnsi="Calibri"/>
          <w:sz w:val="15"/>
          <w:szCs w:val="15"/>
        </w:rPr>
        <w:t xml:space="preserve">Aadhaar number</w:t>
      </w:r>
    </w:p>
    <w:p>
      <w:pPr>
        <w:pStyle w:val="ListParagraph"/>
        <w:numPr>
          <w:ilvl w:val="0"/>
          <w:numId w:val="2"/>
        </w:numPr>
        <w:spacing w:after="40"/>
      </w:pPr>
      <w:r>
        <w:rPr>
          <w:rFonts w:ascii="Calibri" w:cs="Calibri" w:eastAsia="Calibri" w:hAnsi="Calibri"/>
          <w:sz w:val="15"/>
          <w:szCs w:val="15"/>
        </w:rPr>
        <w:t xml:space="preserve">Biometric data of any kind</w:t>
      </w:r>
    </w:p>
    <w:p>
      <w:pPr>
        <w:pStyle w:val="ListParagraph"/>
        <w:numPr>
          <w:ilvl w:val="0"/>
          <w:numId w:val="2"/>
        </w:numPr>
        <w:spacing w:after="40"/>
      </w:pPr>
      <w:r>
        <w:rPr>
          <w:rFonts w:ascii="Calibri" w:cs="Calibri" w:eastAsia="Calibri" w:hAnsi="Calibri"/>
          <w:sz w:val="15"/>
          <w:szCs w:val="15"/>
        </w:rPr>
        <w:t xml:space="preserve">Full DigiLocker document contents beyond what user consents to store for platform purpose</w:t>
      </w:r>
    </w:p>
    <w:p>
      <w:pPr>
        <w:pStyle w:val="ListParagraph"/>
        <w:numPr>
          <w:ilvl w:val="0"/>
          <w:numId w:val="2"/>
        </w:numPr>
        <w:spacing w:after="40"/>
      </w:pPr>
      <w:r>
        <w:rPr>
          <w:rFonts w:ascii="Calibri" w:cs="Calibri" w:eastAsia="Calibri" w:hAnsi="Calibri"/>
          <w:sz w:val="15"/>
          <w:szCs w:val="15"/>
        </w:rPr>
        <w:t xml:space="preserve">Payment / financial data (platform is free)</w:t>
      </w:r>
    </w:p>
    <w:p>
      <w:pPr>
        <w:pStyle w:val="ListParagraph"/>
        <w:numPr>
          <w:ilvl w:val="0"/>
          <w:numId w:val="2"/>
        </w:numPr>
        <w:spacing w:after="40"/>
      </w:pPr>
      <w:r>
        <w:rPr>
          <w:rFonts w:ascii="Calibri" w:cs="Calibri" w:eastAsia="Calibri" w:hAnsi="Calibri"/>
          <w:sz w:val="15"/>
          <w:szCs w:val="15"/>
        </w:rPr>
        <w:t xml:space="preserve">Precise GPS location (only state/district/pincode as provided)</w:t>
      </w:r>
    </w:p>
    <w:p>
      <w:pPr>
        <w:pStyle w:val="ListParagraph"/>
        <w:numPr>
          <w:ilvl w:val="0"/>
          <w:numId w:val="2"/>
        </w:numPr>
        <w:spacing w:after="40"/>
      </w:pPr>
      <w:r>
        <w:rPr>
          <w:rFonts w:ascii="Calibri" w:cs="Calibri" w:eastAsia="Calibri" w:hAnsi="Calibri"/>
          <w:sz w:val="15"/>
          <w:szCs w:val="15"/>
        </w:rPr>
        <w:t xml:space="preserve">Contacts, photos, or other device data beyond declared permissions</w:t>
      </w:r>
    </w:p>
    <w:p>
      <w:pPr>
        <w:pStyle w:val="Heading1"/>
        <w:spacing w:after="140" w:before="280"/>
      </w:pPr>
      <w:r>
        <w:rPr>
          <w:rFonts w:ascii="Calibri" w:cs="Calibri" w:eastAsia="Calibri" w:hAnsi="Calibri"/>
          <w:b/>
          <w:bCs/>
          <w:color w:val="1B4F72"/>
          <w:sz w:val="24"/>
          <w:szCs w:val="24"/>
        </w:rPr>
        <w:t xml:space="preserve">3. PURPOSE LIMITATION &amp; LEGAL BASIS</w:t>
      </w:r>
    </w:p>
    <w:p>
      <w:pPr>
        <w:pStyle w:val="Heading2"/>
        <w:spacing w:after="90" w:before="200"/>
      </w:pPr>
      <w:r>
        <w:rPr>
          <w:rFonts w:ascii="Calibri" w:cs="Calibri" w:eastAsia="Calibri" w:hAnsi="Calibri"/>
          <w:b/>
          <w:bCs/>
          <w:color w:val="2874A6"/>
          <w:sz w:val="18"/>
          <w:szCs w:val="18"/>
        </w:rPr>
        <w:t xml:space="preserve">3.1 Primary Purposes</w:t>
      </w:r>
    </w:p>
    <w:p>
      <w:pPr>
        <w:pStyle w:val="ListParagraph"/>
        <w:numPr>
          <w:ilvl w:val="0"/>
          <w:numId w:val="3"/>
        </w:numPr>
        <w:spacing w:after="40"/>
      </w:pPr>
      <w:r>
        <w:rPr>
          <w:rFonts w:ascii="Calibri" w:cs="Calibri" w:eastAsia="Calibri" w:hAnsi="Calibri"/>
          <w:sz w:val="15"/>
          <w:szCs w:val="15"/>
        </w:rPr>
        <w:t xml:space="preserve">Providing free competitive exam coaching and personalised learning</w:t>
      </w:r>
    </w:p>
    <w:p>
      <w:pPr>
        <w:pStyle w:val="ListParagraph"/>
        <w:numPr>
          <w:ilvl w:val="0"/>
          <w:numId w:val="3"/>
        </w:numPr>
        <w:spacing w:after="40"/>
      </w:pPr>
      <w:r>
        <w:rPr>
          <w:rFonts w:ascii="Calibri" w:cs="Calibri" w:eastAsia="Calibri" w:hAnsi="Calibri"/>
          <w:sz w:val="15"/>
          <w:szCs w:val="15"/>
        </w:rPr>
        <w:t xml:space="preserve">Account creation, authentication, and security</w:t>
      </w:r>
    </w:p>
    <w:p>
      <w:pPr>
        <w:pStyle w:val="ListParagraph"/>
        <w:numPr>
          <w:ilvl w:val="0"/>
          <w:numId w:val="3"/>
        </w:numPr>
        <w:spacing w:after="40"/>
      </w:pPr>
      <w:r>
        <w:rPr>
          <w:rFonts w:ascii="Calibri" w:cs="Calibri" w:eastAsia="Calibri" w:hAnsi="Calibri"/>
          <w:sz w:val="15"/>
          <w:szCs w:val="15"/>
        </w:rPr>
        <w:t xml:space="preserve">Generating study plans, weakness maps, and readiness scores</w:t>
      </w:r>
    </w:p>
    <w:p>
      <w:pPr>
        <w:pStyle w:val="ListParagraph"/>
        <w:numPr>
          <w:ilvl w:val="0"/>
          <w:numId w:val="3"/>
        </w:numPr>
        <w:spacing w:after="40"/>
      </w:pPr>
      <w:r>
        <w:rPr>
          <w:rFonts w:ascii="Calibri" w:cs="Calibri" w:eastAsia="Calibri" w:hAnsi="Calibri"/>
          <w:sz w:val="15"/>
          <w:szCs w:val="15"/>
        </w:rPr>
        <w:t xml:space="preserve">Delivering live classes, mentorship, and notifications</w:t>
      </w:r>
    </w:p>
    <w:p>
      <w:pPr>
        <w:pStyle w:val="ListParagraph"/>
        <w:numPr>
          <w:ilvl w:val="0"/>
          <w:numId w:val="3"/>
        </w:numPr>
        <w:spacing w:after="40"/>
      </w:pPr>
      <w:r>
        <w:rPr>
          <w:rFonts w:ascii="Calibri" w:cs="Calibri" w:eastAsia="Calibri" w:hAnsi="Calibri"/>
          <w:sz w:val="15"/>
          <w:szCs w:val="15"/>
        </w:rPr>
        <w:t xml:space="preserve">Platform improvement and national-level anonymised analytics for Ministry</w:t>
      </w:r>
    </w:p>
    <w:p>
      <w:pPr>
        <w:pStyle w:val="ListParagraph"/>
        <w:numPr>
          <w:ilvl w:val="0"/>
          <w:numId w:val="3"/>
        </w:numPr>
        <w:spacing w:after="40"/>
      </w:pPr>
      <w:r>
        <w:rPr>
          <w:rFonts w:ascii="Calibri" w:cs="Calibri" w:eastAsia="Calibri" w:hAnsi="Calibri"/>
          <w:sz w:val="15"/>
          <w:szCs w:val="15"/>
        </w:rPr>
        <w:t xml:space="preserve">Compliance with legal obligations and government reporting</w:t>
      </w:r>
    </w:p>
    <w:p>
      <w:pPr>
        <w:pStyle w:val="Heading2"/>
        <w:spacing w:after="90" w:before="200"/>
      </w:pPr>
      <w:r>
        <w:rPr>
          <w:rFonts w:ascii="Calibri" w:cs="Calibri" w:eastAsia="Calibri" w:hAnsi="Calibri"/>
          <w:b/>
          <w:bCs/>
          <w:color w:val="2874A6"/>
          <w:sz w:val="18"/>
          <w:szCs w:val="18"/>
        </w:rPr>
        <w:t xml:space="preserve">3.2 Purpose Binding</w:t>
      </w:r>
    </w:p>
    <w:p>
      <w:pPr>
        <w:spacing w:after="80"/>
      </w:pPr>
      <w:r>
        <w:rPr>
          <w:rFonts w:ascii="Calibri" w:cs="Calibri" w:eastAsia="Calibri" w:hAnsi="Calibri"/>
          <w:sz w:val="16"/>
          <w:szCs w:val="16"/>
        </w:rPr>
        <w:t xml:space="preserve">Personal data is processed only for the purposes stated at the time of collection or for purposes reasonably expected by the Data Principal and compatible with the original purpose. Any new purpose requires fresh consent or other valid ground under DPDP.</w:t>
      </w:r>
    </w:p>
    <w:p>
      <w:pPr>
        <w:pStyle w:val="Heading1"/>
        <w:spacing w:after="140" w:before="280"/>
      </w:pPr>
      <w:r>
        <w:rPr>
          <w:rFonts w:ascii="Calibri" w:cs="Calibri" w:eastAsia="Calibri" w:hAnsi="Calibri"/>
          <w:b/>
          <w:bCs/>
          <w:color w:val="1B4F72"/>
          <w:sz w:val="24"/>
          <w:szCs w:val="24"/>
        </w:rPr>
        <w:t xml:space="preserve">4. CONSENT MANAGEMENT</w:t>
      </w:r>
    </w:p>
    <w:p>
      <w:pPr>
        <w:pStyle w:val="Heading2"/>
        <w:spacing w:after="90" w:before="200"/>
      </w:pPr>
      <w:r>
        <w:rPr>
          <w:rFonts w:ascii="Calibri" w:cs="Calibri" w:eastAsia="Calibri" w:hAnsi="Calibri"/>
          <w:b/>
          <w:bCs/>
          <w:color w:val="2874A6"/>
          <w:sz w:val="18"/>
          <w:szCs w:val="18"/>
        </w:rPr>
        <w:t xml:space="preserve">4.1 Consent Principles</w:t>
      </w:r>
    </w:p>
    <w:p>
      <w:pPr>
        <w:pStyle w:val="ListParagraph"/>
        <w:numPr>
          <w:ilvl w:val="0"/>
          <w:numId w:val="2"/>
        </w:numPr>
        <w:spacing w:after="40"/>
      </w:pPr>
      <w:r>
        <w:rPr>
          <w:rFonts w:ascii="Calibri" w:cs="Calibri" w:eastAsia="Calibri" w:hAnsi="Calibri"/>
          <w:sz w:val="15"/>
          <w:szCs w:val="15"/>
        </w:rPr>
        <w:t xml:space="preserve">Free, specific, informed, unconditional, and clear</w:t>
      </w:r>
    </w:p>
    <w:p>
      <w:pPr>
        <w:pStyle w:val="ListParagraph"/>
        <w:numPr>
          <w:ilvl w:val="0"/>
          <w:numId w:val="2"/>
        </w:numPr>
        <w:spacing w:after="40"/>
      </w:pPr>
      <w:r>
        <w:rPr>
          <w:rFonts w:ascii="Calibri" w:cs="Calibri" w:eastAsia="Calibri" w:hAnsi="Calibri"/>
          <w:sz w:val="15"/>
          <w:szCs w:val="15"/>
        </w:rPr>
        <w:t xml:space="preserve">Capable of being withdrawn as easily as it was given</w:t>
      </w:r>
    </w:p>
    <w:p>
      <w:pPr>
        <w:pStyle w:val="ListParagraph"/>
        <w:numPr>
          <w:ilvl w:val="0"/>
          <w:numId w:val="2"/>
        </w:numPr>
        <w:spacing w:after="40"/>
      </w:pPr>
      <w:r>
        <w:rPr>
          <w:rFonts w:ascii="Calibri" w:cs="Calibri" w:eastAsia="Calibri" w:hAnsi="Calibri"/>
          <w:sz w:val="15"/>
          <w:szCs w:val="15"/>
        </w:rPr>
        <w:t xml:space="preserve">Recorded with timestamp and version of privacy notice</w:t>
      </w:r>
    </w:p>
    <w:p>
      <w:pPr>
        <w:pStyle w:val="ListParagraph"/>
        <w:numPr>
          <w:ilvl w:val="0"/>
          <w:numId w:val="2"/>
        </w:numPr>
        <w:spacing w:after="40"/>
      </w:pPr>
      <w:r>
        <w:rPr>
          <w:rFonts w:ascii="Calibri" w:cs="Calibri" w:eastAsia="Calibri" w:hAnsi="Calibri"/>
          <w:sz w:val="15"/>
          <w:szCs w:val="15"/>
        </w:rPr>
        <w:t xml:space="preserve">Granular where practical (e.g., optional DigiLocker linking, marketing-like notifications)</w:t>
      </w:r>
    </w:p>
    <w:p>
      <w:pPr>
        <w:pStyle w:val="Heading2"/>
        <w:spacing w:after="90" w:before="200"/>
      </w:pPr>
      <w:r>
        <w:rPr>
          <w:rFonts w:ascii="Calibri" w:cs="Calibri" w:eastAsia="Calibri" w:hAnsi="Calibri"/>
          <w:b/>
          <w:bCs/>
          <w:color w:val="2874A6"/>
          <w:sz w:val="18"/>
          <w:szCs w:val="18"/>
        </w:rPr>
        <w:t xml:space="preserve">4.2 Consent Collection Points</w:t>
      </w:r>
    </w:p>
    <w:p>
      <w:pPr>
        <w:pStyle w:val="ListParagraph"/>
        <w:numPr>
          <w:ilvl w:val="0"/>
          <w:numId w:val="2"/>
        </w:numPr>
        <w:spacing w:after="40"/>
      </w:pPr>
      <w:r>
        <w:rPr>
          <w:rFonts w:ascii="Calibri" w:cs="Calibri" w:eastAsia="Calibri" w:hAnsi="Calibri"/>
          <w:sz w:val="15"/>
          <w:szCs w:val="15"/>
        </w:rPr>
        <w:t xml:space="preserve">Registration / first login — core platform processing</w:t>
      </w:r>
    </w:p>
    <w:p>
      <w:pPr>
        <w:pStyle w:val="ListParagraph"/>
        <w:numPr>
          <w:ilvl w:val="0"/>
          <w:numId w:val="2"/>
        </w:numPr>
        <w:spacing w:after="40"/>
      </w:pPr>
      <w:r>
        <w:rPr>
          <w:rFonts w:ascii="Calibri" w:cs="Calibri" w:eastAsia="Calibri" w:hAnsi="Calibri"/>
          <w:sz w:val="15"/>
          <w:szCs w:val="15"/>
        </w:rPr>
        <w:t xml:space="preserve">Optional DigiLocker / eKYC linking</w:t>
      </w:r>
    </w:p>
    <w:p>
      <w:pPr>
        <w:pStyle w:val="ListParagraph"/>
        <w:numPr>
          <w:ilvl w:val="0"/>
          <w:numId w:val="2"/>
        </w:numPr>
        <w:spacing w:after="40"/>
      </w:pPr>
      <w:r>
        <w:rPr>
          <w:rFonts w:ascii="Calibri" w:cs="Calibri" w:eastAsia="Calibri" w:hAnsi="Calibri"/>
          <w:sz w:val="15"/>
          <w:szCs w:val="15"/>
        </w:rPr>
        <w:t xml:space="preserve">Notification preference categories</w:t>
      </w:r>
    </w:p>
    <w:p>
      <w:pPr>
        <w:pStyle w:val="ListParagraph"/>
        <w:numPr>
          <w:ilvl w:val="0"/>
          <w:numId w:val="2"/>
        </w:numPr>
        <w:spacing w:after="40"/>
      </w:pPr>
      <w:r>
        <w:rPr>
          <w:rFonts w:ascii="Calibri" w:cs="Calibri" w:eastAsia="Calibri" w:hAnsi="Calibri"/>
          <w:sz w:val="15"/>
          <w:szCs w:val="15"/>
        </w:rPr>
        <w:t xml:space="preserve">Parental consent flow for users under 18</w:t>
      </w:r>
    </w:p>
    <w:p>
      <w:pPr>
        <w:pStyle w:val="ListParagraph"/>
        <w:numPr>
          <w:ilvl w:val="0"/>
          <w:numId w:val="2"/>
        </w:numPr>
        <w:spacing w:after="40"/>
      </w:pPr>
      <w:r>
        <w:rPr>
          <w:rFonts w:ascii="Calibri" w:cs="Calibri" w:eastAsia="Calibri" w:hAnsi="Calibri"/>
          <w:sz w:val="15"/>
          <w:szCs w:val="15"/>
        </w:rPr>
        <w:t xml:space="preserve">Any future optional features that process additional data</w:t>
      </w:r>
    </w:p>
    <w:p>
      <w:pPr>
        <w:pStyle w:val="Heading2"/>
        <w:spacing w:after="90" w:before="200"/>
      </w:pPr>
      <w:r>
        <w:rPr>
          <w:rFonts w:ascii="Calibri" w:cs="Calibri" w:eastAsia="Calibri" w:hAnsi="Calibri"/>
          <w:b/>
          <w:bCs/>
          <w:color w:val="2874A6"/>
          <w:sz w:val="18"/>
          <w:szCs w:val="18"/>
        </w:rPr>
        <w:t xml:space="preserve">4.3 Parental Consent (Users under 18)</w:t>
      </w:r>
    </w:p>
    <w:p>
      <w:pPr>
        <w:spacing w:after="80"/>
      </w:pPr>
      <w:r>
        <w:rPr>
          <w:rFonts w:ascii="Calibri" w:cs="Calibri" w:eastAsia="Calibri" w:hAnsi="Calibri"/>
          <w:sz w:val="16"/>
          <w:szCs w:val="16"/>
        </w:rPr>
        <w:t xml:space="preserve">Age is collected or inferred at registration. For users identified as under 18:</w:t>
      </w:r>
    </w:p>
    <w:p>
      <w:pPr>
        <w:pStyle w:val="ListParagraph"/>
        <w:numPr>
          <w:ilvl w:val="0"/>
          <w:numId w:val="2"/>
        </w:numPr>
        <w:spacing w:after="40"/>
      </w:pPr>
      <w:r>
        <w:rPr>
          <w:rFonts w:ascii="Calibri" w:cs="Calibri" w:eastAsia="Calibri" w:hAnsi="Calibri"/>
          <w:sz w:val="15"/>
          <w:szCs w:val="15"/>
        </w:rPr>
        <w:t xml:space="preserve">Parental / guardian mobile number is required</w:t>
      </w:r>
    </w:p>
    <w:p>
      <w:pPr>
        <w:pStyle w:val="ListParagraph"/>
        <w:numPr>
          <w:ilvl w:val="0"/>
          <w:numId w:val="2"/>
        </w:numPr>
        <w:spacing w:after="40"/>
      </w:pPr>
      <w:r>
        <w:rPr>
          <w:rFonts w:ascii="Calibri" w:cs="Calibri" w:eastAsia="Calibri" w:hAnsi="Calibri"/>
          <w:sz w:val="15"/>
          <w:szCs w:val="15"/>
        </w:rPr>
        <w:t xml:space="preserve">Consent SMS / flow is sent to the registered parent number</w:t>
      </w:r>
    </w:p>
    <w:p>
      <w:pPr>
        <w:pStyle w:val="ListParagraph"/>
        <w:numPr>
          <w:ilvl w:val="0"/>
          <w:numId w:val="2"/>
        </w:numPr>
        <w:spacing w:after="40"/>
      </w:pPr>
      <w:r>
        <w:rPr>
          <w:rFonts w:ascii="Calibri" w:cs="Calibri" w:eastAsia="Calibri" w:hAnsi="Calibri"/>
          <w:sz w:val="15"/>
          <w:szCs w:val="15"/>
        </w:rPr>
        <w:t xml:space="preserve">Platform access for the minor is restricted until consent is recorded</w:t>
      </w:r>
    </w:p>
    <w:p>
      <w:pPr>
        <w:pStyle w:val="ListParagraph"/>
        <w:numPr>
          <w:ilvl w:val="0"/>
          <w:numId w:val="2"/>
        </w:numPr>
        <w:spacing w:after="40"/>
      </w:pPr>
      <w:r>
        <w:rPr>
          <w:rFonts w:ascii="Calibri" w:cs="Calibri" w:eastAsia="Calibri" w:hAnsi="Calibri"/>
          <w:sz w:val="15"/>
          <w:szCs w:val="15"/>
        </w:rPr>
        <w:t xml:space="preserve">Parent can later withdraw consent, triggering appropriate account restrictions or deletion process</w:t>
      </w:r>
    </w:p>
    <w:p>
      <w:pPr>
        <w:pStyle w:val="Heading2"/>
        <w:spacing w:after="90" w:before="200"/>
      </w:pPr>
      <w:r>
        <w:rPr>
          <w:rFonts w:ascii="Calibri" w:cs="Calibri" w:eastAsia="Calibri" w:hAnsi="Calibri"/>
          <w:b/>
          <w:bCs/>
          <w:color w:val="2874A6"/>
          <w:sz w:val="18"/>
          <w:szCs w:val="18"/>
        </w:rPr>
        <w:t xml:space="preserve">4.4 Withdrawal of Consent</w:t>
      </w:r>
    </w:p>
    <w:p>
      <w:pPr>
        <w:pStyle w:val="ListParagraph"/>
        <w:numPr>
          <w:ilvl w:val="0"/>
          <w:numId w:val="2"/>
        </w:numPr>
        <w:spacing w:after="40"/>
      </w:pPr>
      <w:r>
        <w:rPr>
          <w:rFonts w:ascii="Calibri" w:cs="Calibri" w:eastAsia="Calibri" w:hAnsi="Calibri"/>
          <w:sz w:val="15"/>
          <w:szCs w:val="15"/>
        </w:rPr>
        <w:t xml:space="preserve">User can withdraw consent via in-app settings or support channel</w:t>
      </w:r>
    </w:p>
    <w:p>
      <w:pPr>
        <w:pStyle w:val="ListParagraph"/>
        <w:numPr>
          <w:ilvl w:val="0"/>
          <w:numId w:val="2"/>
        </w:numPr>
        <w:spacing w:after="40"/>
      </w:pPr>
      <w:r>
        <w:rPr>
          <w:rFonts w:ascii="Calibri" w:cs="Calibri" w:eastAsia="Calibri" w:hAnsi="Calibri"/>
          <w:sz w:val="15"/>
          <w:szCs w:val="15"/>
        </w:rPr>
        <w:t xml:space="preserve">Withdrawal does not affect processing already lawfully done</w:t>
      </w:r>
    </w:p>
    <w:p>
      <w:pPr>
        <w:pStyle w:val="ListParagraph"/>
        <w:numPr>
          <w:ilvl w:val="0"/>
          <w:numId w:val="2"/>
        </w:numPr>
        <w:spacing w:after="40"/>
      </w:pPr>
      <w:r>
        <w:rPr>
          <w:rFonts w:ascii="Calibri" w:cs="Calibri" w:eastAsia="Calibri" w:hAnsi="Calibri"/>
          <w:sz w:val="15"/>
          <w:szCs w:val="15"/>
        </w:rPr>
        <w:t xml:space="preserve">Where consent is the only ground, related processing stops and data is deleted or anonymised as applicable</w:t>
      </w:r>
    </w:p>
    <w:p>
      <w:pPr>
        <w:pStyle w:val="Heading1"/>
        <w:spacing w:after="140" w:before="280"/>
      </w:pPr>
      <w:r>
        <w:rPr>
          <w:rFonts w:ascii="Calibri" w:cs="Calibri" w:eastAsia="Calibri" w:hAnsi="Calibri"/>
          <w:b/>
          <w:bCs/>
          <w:color w:val="1B4F72"/>
          <w:sz w:val="24"/>
          <w:szCs w:val="24"/>
        </w:rPr>
        <w:t xml:space="preserve">5. RIGHTS OF DATA PRINCIPALS</w:t>
      </w:r>
    </w:p>
    <w:p>
      <w:pPr>
        <w:pStyle w:val="Heading2"/>
        <w:spacing w:after="90" w:before="200"/>
      </w:pPr>
      <w:r>
        <w:rPr>
          <w:rFonts w:ascii="Calibri" w:cs="Calibri" w:eastAsia="Calibri" w:hAnsi="Calibri"/>
          <w:b/>
          <w:bCs/>
          <w:color w:val="2874A6"/>
          <w:sz w:val="18"/>
          <w:szCs w:val="18"/>
        </w:rPr>
        <w:t xml:space="preserve">5.1 Right to Access &amp; Information</w:t>
      </w:r>
    </w:p>
    <w:p>
      <w:pPr>
        <w:pStyle w:val="ListParagraph"/>
        <w:numPr>
          <w:ilvl w:val="0"/>
          <w:numId w:val="2"/>
        </w:numPr>
        <w:spacing w:after="40"/>
      </w:pPr>
      <w:r>
        <w:rPr>
          <w:rFonts w:ascii="Calibri" w:cs="Calibri" w:eastAsia="Calibri" w:hAnsi="Calibri"/>
          <w:sz w:val="15"/>
          <w:szCs w:val="15"/>
        </w:rPr>
        <w:t xml:space="preserve">User can view their profile and key data via the app</w:t>
      </w:r>
    </w:p>
    <w:p>
      <w:pPr>
        <w:pStyle w:val="ListParagraph"/>
        <w:numPr>
          <w:ilvl w:val="0"/>
          <w:numId w:val="2"/>
        </w:numPr>
        <w:spacing w:after="40"/>
      </w:pPr>
      <w:r>
        <w:rPr>
          <w:rFonts w:ascii="Calibri" w:cs="Calibri" w:eastAsia="Calibri" w:hAnsi="Calibri"/>
          <w:sz w:val="15"/>
          <w:szCs w:val="15"/>
        </w:rPr>
        <w:t xml:space="preserve">Privacy notice available in-app and on web, in supported languages</w:t>
      </w:r>
    </w:p>
    <w:p>
      <w:pPr>
        <w:pStyle w:val="ListParagraph"/>
        <w:numPr>
          <w:ilvl w:val="0"/>
          <w:numId w:val="2"/>
        </w:numPr>
        <w:spacing w:after="40"/>
      </w:pPr>
      <w:r>
        <w:rPr>
          <w:rFonts w:ascii="Calibri" w:cs="Calibri" w:eastAsia="Calibri" w:hAnsi="Calibri"/>
          <w:sz w:val="15"/>
          <w:szCs w:val="15"/>
        </w:rPr>
        <w:t xml:space="preserve">Clear information about purposes, categories of data, and rights</w:t>
      </w:r>
    </w:p>
    <w:p>
      <w:pPr>
        <w:pStyle w:val="Heading2"/>
        <w:spacing w:after="90" w:before="200"/>
      </w:pPr>
      <w:r>
        <w:rPr>
          <w:rFonts w:ascii="Calibri" w:cs="Calibri" w:eastAsia="Calibri" w:hAnsi="Calibri"/>
          <w:b/>
          <w:bCs/>
          <w:color w:val="2874A6"/>
          <w:sz w:val="18"/>
          <w:szCs w:val="18"/>
        </w:rPr>
        <w:t xml:space="preserve">5.2 Right to Correction &amp; Erasure</w:t>
      </w:r>
    </w:p>
    <w:p>
      <w:pPr>
        <w:pStyle w:val="ListParagraph"/>
        <w:numPr>
          <w:ilvl w:val="0"/>
          <w:numId w:val="2"/>
        </w:numPr>
        <w:spacing w:after="40"/>
      </w:pPr>
      <w:r>
        <w:rPr>
          <w:rFonts w:ascii="Calibri" w:cs="Calibri" w:eastAsia="Calibri" w:hAnsi="Calibri"/>
          <w:sz w:val="15"/>
          <w:szCs w:val="15"/>
        </w:rPr>
        <w:t xml:space="preserve">Profile fields editable by user (name, location, preferences, etc.)</w:t>
      </w:r>
    </w:p>
    <w:p>
      <w:pPr>
        <w:pStyle w:val="ListParagraph"/>
        <w:numPr>
          <w:ilvl w:val="0"/>
          <w:numId w:val="2"/>
        </w:numPr>
        <w:spacing w:after="40"/>
      </w:pPr>
      <w:r>
        <w:rPr>
          <w:rFonts w:ascii="Calibri" w:cs="Calibri" w:eastAsia="Calibri" w:hAnsi="Calibri"/>
          <w:sz w:val="15"/>
          <w:szCs w:val="15"/>
        </w:rPr>
        <w:t xml:space="preserve">Account deletion / erasure request available in settings or via support</w:t>
      </w:r>
    </w:p>
    <w:p>
      <w:pPr>
        <w:pStyle w:val="ListParagraph"/>
        <w:numPr>
          <w:ilvl w:val="0"/>
          <w:numId w:val="2"/>
        </w:numPr>
        <w:spacing w:after="40"/>
      </w:pPr>
      <w:r>
        <w:rPr>
          <w:rFonts w:ascii="Calibri" w:cs="Calibri" w:eastAsia="Calibri" w:hAnsi="Calibri"/>
          <w:sz w:val="15"/>
          <w:szCs w:val="15"/>
        </w:rPr>
        <w:t xml:space="preserve">Erasure process includes soft-delete followed by hard purge after cooling period, subject to legal holds</w:t>
      </w:r>
    </w:p>
    <w:p>
      <w:pPr>
        <w:pStyle w:val="ListParagraph"/>
        <w:numPr>
          <w:ilvl w:val="0"/>
          <w:numId w:val="2"/>
        </w:numPr>
        <w:spacing w:after="40"/>
      </w:pPr>
      <w:r>
        <w:rPr>
          <w:rFonts w:ascii="Calibri" w:cs="Calibri" w:eastAsia="Calibri" w:hAnsi="Calibri"/>
          <w:sz w:val="15"/>
          <w:szCs w:val="15"/>
        </w:rPr>
        <w:t xml:space="preserve">Verification of identity before processing erasure requests</w:t>
      </w:r>
    </w:p>
    <w:p>
      <w:pPr>
        <w:pStyle w:val="Heading2"/>
        <w:spacing w:after="90" w:before="200"/>
      </w:pPr>
      <w:r>
        <w:rPr>
          <w:rFonts w:ascii="Calibri" w:cs="Calibri" w:eastAsia="Calibri" w:hAnsi="Calibri"/>
          <w:b/>
          <w:bCs/>
          <w:color w:val="2874A6"/>
          <w:sz w:val="18"/>
          <w:szCs w:val="18"/>
        </w:rPr>
        <w:t xml:space="preserve">5.3 Right to Data Portability</w:t>
      </w:r>
    </w:p>
    <w:p>
      <w:pPr>
        <w:pStyle w:val="ListParagraph"/>
        <w:numPr>
          <w:ilvl w:val="0"/>
          <w:numId w:val="2"/>
        </w:numPr>
        <w:spacing w:after="40"/>
      </w:pPr>
      <w:r>
        <w:rPr>
          <w:rFonts w:ascii="Calibri" w:cs="Calibri" w:eastAsia="Calibri" w:hAnsi="Calibri"/>
          <w:sz w:val="15"/>
          <w:szCs w:val="15"/>
        </w:rPr>
        <w:t xml:space="preserve">User can request export of their personal data and performance history in a structured, machine-readable format (JSON/CSV)</w:t>
      </w:r>
    </w:p>
    <w:p>
      <w:pPr>
        <w:pStyle w:val="ListParagraph"/>
        <w:numPr>
          <w:ilvl w:val="0"/>
          <w:numId w:val="2"/>
        </w:numPr>
        <w:spacing w:after="40"/>
      </w:pPr>
      <w:r>
        <w:rPr>
          <w:rFonts w:ascii="Calibri" w:cs="Calibri" w:eastAsia="Calibri" w:hAnsi="Calibri"/>
          <w:sz w:val="15"/>
          <w:szCs w:val="15"/>
        </w:rPr>
        <w:t xml:space="preserve">Export provided within reasonable time after identity verification</w:t>
      </w:r>
    </w:p>
    <w:p>
      <w:pPr>
        <w:pStyle w:val="Heading2"/>
        <w:spacing w:after="90" w:before="200"/>
      </w:pPr>
      <w:r>
        <w:rPr>
          <w:rFonts w:ascii="Calibri" w:cs="Calibri" w:eastAsia="Calibri" w:hAnsi="Calibri"/>
          <w:b/>
          <w:bCs/>
          <w:color w:val="2874A6"/>
          <w:sz w:val="18"/>
          <w:szCs w:val="18"/>
        </w:rPr>
        <w:t xml:space="preserve">5.4 Right to Withdraw Consent &amp; Grievance</w:t>
      </w:r>
    </w:p>
    <w:p>
      <w:pPr>
        <w:pStyle w:val="ListParagraph"/>
        <w:numPr>
          <w:ilvl w:val="0"/>
          <w:numId w:val="2"/>
        </w:numPr>
        <w:spacing w:after="40"/>
      </w:pPr>
      <w:r>
        <w:rPr>
          <w:rFonts w:ascii="Calibri" w:cs="Calibri" w:eastAsia="Calibri" w:hAnsi="Calibri"/>
          <w:sz w:val="15"/>
          <w:szCs w:val="15"/>
        </w:rPr>
        <w:t xml:space="preserve">Easy withdrawal mechanisms</w:t>
      </w:r>
    </w:p>
    <w:p>
      <w:pPr>
        <w:pStyle w:val="ListParagraph"/>
        <w:numPr>
          <w:ilvl w:val="0"/>
          <w:numId w:val="2"/>
        </w:numPr>
        <w:spacing w:after="40"/>
      </w:pPr>
      <w:r>
        <w:rPr>
          <w:rFonts w:ascii="Calibri" w:cs="Calibri" w:eastAsia="Calibri" w:hAnsi="Calibri"/>
          <w:sz w:val="15"/>
          <w:szCs w:val="15"/>
        </w:rPr>
        <w:t xml:space="preserve">Grievance redressal channel published (email / in-app / designated officer)</w:t>
      </w:r>
    </w:p>
    <w:p>
      <w:pPr>
        <w:pStyle w:val="ListParagraph"/>
        <w:numPr>
          <w:ilvl w:val="0"/>
          <w:numId w:val="2"/>
        </w:numPr>
        <w:spacing w:after="40"/>
      </w:pPr>
      <w:r>
        <w:rPr>
          <w:rFonts w:ascii="Calibri" w:cs="Calibri" w:eastAsia="Calibri" w:hAnsi="Calibri"/>
          <w:sz w:val="15"/>
          <w:szCs w:val="15"/>
        </w:rPr>
        <w:t xml:space="preserve">Acknowledgement and resolution timelines aligned with DPDP expectations</w:t>
      </w:r>
    </w:p>
    <w:p>
      <w:pPr>
        <w:pStyle w:val="Heading2"/>
        <w:spacing w:after="90" w:before="200"/>
      </w:pPr>
      <w:r>
        <w:rPr>
          <w:rFonts w:ascii="Calibri" w:cs="Calibri" w:eastAsia="Calibri" w:hAnsi="Calibri"/>
          <w:b/>
          <w:bCs/>
          <w:color w:val="2874A6"/>
          <w:sz w:val="18"/>
          <w:szCs w:val="18"/>
        </w:rPr>
        <w:t xml:space="preserve">5.5 Rights of Children / Minors</w:t>
      </w:r>
    </w:p>
    <w:p>
      <w:pPr>
        <w:pStyle w:val="ListParagraph"/>
        <w:numPr>
          <w:ilvl w:val="0"/>
          <w:numId w:val="2"/>
        </w:numPr>
        <w:spacing w:after="40"/>
      </w:pPr>
      <w:r>
        <w:rPr>
          <w:rFonts w:ascii="Calibri" w:cs="Calibri" w:eastAsia="Calibri" w:hAnsi="Calibri"/>
          <w:sz w:val="15"/>
          <w:szCs w:val="15"/>
        </w:rPr>
        <w:t xml:space="preserve">Parental consent mandatory</w:t>
      </w:r>
    </w:p>
    <w:p>
      <w:pPr>
        <w:pStyle w:val="ListParagraph"/>
        <w:numPr>
          <w:ilvl w:val="0"/>
          <w:numId w:val="2"/>
        </w:numPr>
        <w:spacing w:after="40"/>
      </w:pPr>
      <w:r>
        <w:rPr>
          <w:rFonts w:ascii="Calibri" w:cs="Calibri" w:eastAsia="Calibri" w:hAnsi="Calibri"/>
          <w:sz w:val="15"/>
          <w:szCs w:val="15"/>
        </w:rPr>
        <w:t xml:space="preserve">No behavioural tracking or targeted advertising directed at children</w:t>
      </w:r>
    </w:p>
    <w:p>
      <w:pPr>
        <w:pStyle w:val="ListParagraph"/>
        <w:numPr>
          <w:ilvl w:val="0"/>
          <w:numId w:val="2"/>
        </w:numPr>
        <w:spacing w:after="40"/>
      </w:pPr>
      <w:r>
        <w:rPr>
          <w:rFonts w:ascii="Calibri" w:cs="Calibri" w:eastAsia="Calibri" w:hAnsi="Calibri"/>
          <w:sz w:val="15"/>
          <w:szCs w:val="15"/>
        </w:rPr>
        <w:t xml:space="preserve">Age-appropriate design and minimal data collection</w:t>
      </w:r>
    </w:p>
    <w:p>
      <w:pPr>
        <w:pStyle w:val="Heading1"/>
        <w:spacing w:after="140" w:before="280"/>
      </w:pPr>
      <w:r>
        <w:rPr>
          <w:rFonts w:ascii="Calibri" w:cs="Calibri" w:eastAsia="Calibri" w:hAnsi="Calibri"/>
          <w:b/>
          <w:bCs/>
          <w:color w:val="1B4F72"/>
          <w:sz w:val="24"/>
          <w:szCs w:val="24"/>
        </w:rPr>
        <w:t xml:space="preserve">6. DATA MINIMISATION &amp; STORAGE LIMITATION</w:t>
      </w:r>
    </w:p>
    <w:p>
      <w:pPr>
        <w:pStyle w:val="Heading2"/>
        <w:spacing w:after="90" w:before="200"/>
      </w:pPr>
      <w:r>
        <w:rPr>
          <w:rFonts w:ascii="Calibri" w:cs="Calibri" w:eastAsia="Calibri" w:hAnsi="Calibri"/>
          <w:b/>
          <w:bCs/>
          <w:color w:val="2874A6"/>
          <w:sz w:val="18"/>
          <w:szCs w:val="18"/>
        </w:rPr>
        <w:t xml:space="preserve">6.1 Minimisation Rules</w:t>
      </w:r>
    </w:p>
    <w:p>
      <w:pPr>
        <w:pStyle w:val="ListParagraph"/>
        <w:numPr>
          <w:ilvl w:val="0"/>
          <w:numId w:val="2"/>
        </w:numPr>
        <w:spacing w:after="40"/>
      </w:pPr>
      <w:r>
        <w:rPr>
          <w:rFonts w:ascii="Calibri" w:cs="Calibri" w:eastAsia="Calibri" w:hAnsi="Calibri"/>
          <w:sz w:val="15"/>
          <w:szCs w:val="15"/>
        </w:rPr>
        <w:t xml:space="preserve">Collect only data necessary for stated purposes</w:t>
      </w:r>
    </w:p>
    <w:p>
      <w:pPr>
        <w:pStyle w:val="ListParagraph"/>
        <w:numPr>
          <w:ilvl w:val="0"/>
          <w:numId w:val="2"/>
        </w:numPr>
        <w:spacing w:after="40"/>
      </w:pPr>
      <w:r>
        <w:rPr>
          <w:rFonts w:ascii="Calibri" w:cs="Calibri" w:eastAsia="Calibri" w:hAnsi="Calibri"/>
          <w:sz w:val="15"/>
          <w:szCs w:val="15"/>
        </w:rPr>
        <w:t xml:space="preserve">Prefer privacy-preserving analytics (aggregation, anonymisation)</w:t>
      </w:r>
    </w:p>
    <w:p>
      <w:pPr>
        <w:pStyle w:val="ListParagraph"/>
        <w:numPr>
          <w:ilvl w:val="0"/>
          <w:numId w:val="2"/>
        </w:numPr>
        <w:spacing w:after="40"/>
      </w:pPr>
      <w:r>
        <w:rPr>
          <w:rFonts w:ascii="Calibri" w:cs="Calibri" w:eastAsia="Calibri" w:hAnsi="Calibri"/>
          <w:sz w:val="15"/>
          <w:szCs w:val="15"/>
        </w:rPr>
        <w:t xml:space="preserve">Avoid free-text fields that may solicit unnecessary sensitive information</w:t>
      </w:r>
    </w:p>
    <w:p>
      <w:pPr>
        <w:pStyle w:val="ListParagraph"/>
        <w:numPr>
          <w:ilvl w:val="0"/>
          <w:numId w:val="2"/>
        </w:numPr>
        <w:spacing w:after="40"/>
      </w:pPr>
      <w:r>
        <w:rPr>
          <w:rFonts w:ascii="Calibri" w:cs="Calibri" w:eastAsia="Calibri" w:hAnsi="Calibri"/>
          <w:sz w:val="15"/>
          <w:szCs w:val="15"/>
        </w:rPr>
        <w:t xml:space="preserve">Regular review of data fields and forms for necessity</w:t>
      </w:r>
    </w:p>
    <w:p>
      <w:pPr>
        <w:pStyle w:val="Heading2"/>
        <w:spacing w:after="90" w:before="200"/>
      </w:pPr>
      <w:r>
        <w:rPr>
          <w:rFonts w:ascii="Calibri" w:cs="Calibri" w:eastAsia="Calibri" w:hAnsi="Calibri"/>
          <w:b/>
          <w:bCs/>
          <w:color w:val="2874A6"/>
          <w:sz w:val="18"/>
          <w:szCs w:val="18"/>
        </w:rPr>
        <w:t xml:space="preserve">6.2 Retention Schedule (Summary)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4000"/>
      </w:tblGrid>
      <w:tr>
        <w:tc>
          <w:tcPr>
            <w:tcW w:type="dxa" w:w="32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Data Category</w:t>
            </w:r>
          </w:p>
        </w:tc>
        <w:tc>
          <w:tcPr>
            <w:tcW w:type="dxa" w:w="30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Retention</w:t>
            </w:r>
          </w:p>
        </w:tc>
        <w:tc>
          <w:tcPr>
            <w:tcW w:type="dxa" w:w="40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Notes</w:t>
            </w:r>
          </w:p>
        </w:tc>
      </w:tr>
      <w:tr>
        <w:tc>
          <w:tcPr>
            <w:tcW w:type="dxa" w:w="3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Account &amp; Profile</w:t>
            </w:r>
          </w:p>
        </w:tc>
        <w:tc>
          <w:tcPr>
            <w:tcW w:type="dxa" w:w="3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Until deletion request + legal hold</w:t>
            </w:r>
          </w:p>
        </w:tc>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Soft delete then purge</w:t>
            </w:r>
          </w:p>
        </w:tc>
      </w:tr>
      <w:tr>
        <w:tc>
          <w:tcPr>
            <w:tcW w:type="dxa" w:w="3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Test attempts &amp; scores</w:t>
            </w:r>
          </w:p>
        </w:tc>
        <w:tc>
          <w:tcPr>
            <w:tcW w:type="dxa" w:w="3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3–5 years (configurable)</w:t>
            </w:r>
          </w:p>
        </w:tc>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Then anonymise or archive</w:t>
            </w:r>
          </w:p>
        </w:tc>
      </w:tr>
      <w:tr>
        <w:tc>
          <w:tcPr>
            <w:tcW w:type="dxa" w:w="3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Audit logs</w:t>
            </w:r>
          </w:p>
        </w:tc>
        <w:tc>
          <w:tcPr>
            <w:tcW w:type="dxa" w:w="3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Min. 90 days (or longer per policy)</w:t>
            </w:r>
          </w:p>
        </w:tc>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Compliance requirement</w:t>
            </w:r>
          </w:p>
        </w:tc>
      </w:tr>
      <w:tr>
        <w:tc>
          <w:tcPr>
            <w:tcW w:type="dxa" w:w="3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Notifications</w:t>
            </w:r>
          </w:p>
        </w:tc>
        <w:tc>
          <w:tcPr>
            <w:tcW w:type="dxa" w:w="3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30–90 days</w:t>
            </w:r>
          </w:p>
        </w:tc>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Low residual value</w:t>
            </w:r>
          </w:p>
        </w:tc>
      </w:tr>
      <w:tr>
        <w:tc>
          <w:tcPr>
            <w:tcW w:type="dxa" w:w="3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Analytics events</w:t>
            </w:r>
          </w:p>
        </w:tc>
        <w:tc>
          <w:tcPr>
            <w:tcW w:type="dxa" w:w="3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Aggregated longer; raw shorter</w:t>
            </w:r>
          </w:p>
        </w:tc>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Anonymised where possible</w:t>
            </w:r>
          </w:p>
        </w:tc>
      </w:tr>
      <w:tr>
        <w:tc>
          <w:tcPr>
            <w:tcW w:type="dxa" w:w="3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Support tickets</w:t>
            </w:r>
          </w:p>
        </w:tc>
        <w:tc>
          <w:tcPr>
            <w:tcW w:type="dxa" w:w="3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As per support policy</w:t>
            </w:r>
          </w:p>
        </w:tc>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Typically 1–2 years</w:t>
            </w:r>
          </w:p>
        </w:tc>
      </w:tr>
    </w:tbl>
    <w:p>
      <w:pPr>
        <w:pStyle w:val="Heading1"/>
        <w:spacing w:after="140" w:before="280"/>
      </w:pPr>
      <w:r>
        <w:rPr>
          <w:rFonts w:ascii="Calibri" w:cs="Calibri" w:eastAsia="Calibri" w:hAnsi="Calibri"/>
          <w:b/>
          <w:bCs/>
          <w:color w:val="1B4F72"/>
          <w:sz w:val="24"/>
          <w:szCs w:val="24"/>
        </w:rPr>
        <w:t xml:space="preserve">7. DATA LOCALISATION &amp; CROSS-BORDER TRANSFER</w:t>
      </w:r>
    </w:p>
    <w:p>
      <w:pPr>
        <w:pStyle w:val="ListParagraph"/>
        <w:numPr>
          <w:ilvl w:val="0"/>
          <w:numId w:val="2"/>
        </w:numPr>
        <w:spacing w:after="40"/>
      </w:pPr>
      <w:r>
        <w:rPr>
          <w:rFonts w:ascii="Calibri" w:cs="Calibri" w:eastAsia="Calibri" w:hAnsi="Calibri"/>
          <w:sz w:val="15"/>
          <w:szCs w:val="15"/>
        </w:rPr>
        <w:t xml:space="preserve">All personal data is stored and processed on NIC MeghRaj infrastructure located in India</w:t>
      </w:r>
    </w:p>
    <w:p>
      <w:pPr>
        <w:pStyle w:val="ListParagraph"/>
        <w:numPr>
          <w:ilvl w:val="0"/>
          <w:numId w:val="2"/>
        </w:numPr>
        <w:spacing w:after="40"/>
      </w:pPr>
      <w:r>
        <w:rPr>
          <w:rFonts w:ascii="Calibri" w:cs="Calibri" w:eastAsia="Calibri" w:hAnsi="Calibri"/>
          <w:sz w:val="15"/>
          <w:szCs w:val="15"/>
        </w:rPr>
        <w:t xml:space="preserve">No cross-border transfer of personal data is permitted for core platform processing</w:t>
      </w:r>
    </w:p>
    <w:p>
      <w:pPr>
        <w:pStyle w:val="ListParagraph"/>
        <w:numPr>
          <w:ilvl w:val="0"/>
          <w:numId w:val="2"/>
        </w:numPr>
        <w:spacing w:after="40"/>
      </w:pPr>
      <w:r>
        <w:rPr>
          <w:rFonts w:ascii="Calibri" w:cs="Calibri" w:eastAsia="Calibri" w:hAnsi="Calibri"/>
          <w:sz w:val="15"/>
          <w:szCs w:val="15"/>
        </w:rPr>
        <w:t xml:space="preserve">Any future exception would require explicit legal basis, contractual safeguards, and Ministry approval</w:t>
      </w:r>
    </w:p>
    <w:p>
      <w:pPr>
        <w:pStyle w:val="ListParagraph"/>
        <w:numPr>
          <w:ilvl w:val="0"/>
          <w:numId w:val="2"/>
        </w:numPr>
        <w:spacing w:after="40"/>
      </w:pPr>
      <w:r>
        <w:rPr>
          <w:rFonts w:ascii="Calibri" w:cs="Calibri" w:eastAsia="Calibri" w:hAnsi="Calibri"/>
          <w:sz w:val="15"/>
          <w:szCs w:val="15"/>
        </w:rPr>
        <w:t xml:space="preserve">Third-party processors (if any) must either be India-based or contractually bound to equivalent protection and localisation where required</w:t>
      </w:r>
    </w:p>
    <w:p>
      <w:pPr>
        <w:pStyle w:val="Heading1"/>
        <w:spacing w:after="140" w:before="280"/>
      </w:pPr>
      <w:r>
        <w:rPr>
          <w:rFonts w:ascii="Calibri" w:cs="Calibri" w:eastAsia="Calibri" w:hAnsi="Calibri"/>
          <w:b/>
          <w:bCs/>
          <w:color w:val="1B4F72"/>
          <w:sz w:val="24"/>
          <w:szCs w:val="24"/>
        </w:rPr>
        <w:t xml:space="preserve">8. SECURITY SAFEGUARDS (SUMMARY)</w:t>
      </w:r>
    </w:p>
    <w:p>
      <w:pPr>
        <w:spacing w:after="80"/>
      </w:pPr>
      <w:r>
        <w:rPr>
          <w:rFonts w:ascii="Calibri" w:cs="Calibri" w:eastAsia="Calibri" w:hAnsi="Calibri"/>
          <w:sz w:val="16"/>
          <w:szCs w:val="16"/>
        </w:rPr>
        <w:t xml:space="preserve">Detailed technical controls are specified in the Security Architecture document. Privacy-relevant safeguards include:</w:t>
      </w:r>
    </w:p>
    <w:p>
      <w:pPr>
        <w:pStyle w:val="ListParagraph"/>
        <w:numPr>
          <w:ilvl w:val="0"/>
          <w:numId w:val="2"/>
        </w:numPr>
        <w:spacing w:after="40"/>
      </w:pPr>
      <w:r>
        <w:rPr>
          <w:rFonts w:ascii="Calibri" w:cs="Calibri" w:eastAsia="Calibri" w:hAnsi="Calibri"/>
          <w:sz w:val="15"/>
          <w:szCs w:val="15"/>
        </w:rPr>
        <w:t xml:space="preserve">Encryption in transit (TLS 1.2+) and at rest</w:t>
      </w:r>
    </w:p>
    <w:p>
      <w:pPr>
        <w:pStyle w:val="ListParagraph"/>
        <w:numPr>
          <w:ilvl w:val="0"/>
          <w:numId w:val="2"/>
        </w:numPr>
        <w:spacing w:after="40"/>
      </w:pPr>
      <w:r>
        <w:rPr>
          <w:rFonts w:ascii="Calibri" w:cs="Calibri" w:eastAsia="Calibri" w:hAnsi="Calibri"/>
          <w:sz w:val="15"/>
          <w:szCs w:val="15"/>
        </w:rPr>
        <w:t xml:space="preserve">Access control and least privilege</w:t>
      </w:r>
    </w:p>
    <w:p>
      <w:pPr>
        <w:pStyle w:val="ListParagraph"/>
        <w:numPr>
          <w:ilvl w:val="0"/>
          <w:numId w:val="2"/>
        </w:numPr>
        <w:spacing w:after="40"/>
      </w:pPr>
      <w:r>
        <w:rPr>
          <w:rFonts w:ascii="Calibri" w:cs="Calibri" w:eastAsia="Calibri" w:hAnsi="Calibri"/>
          <w:sz w:val="15"/>
          <w:szCs w:val="15"/>
        </w:rPr>
        <w:t xml:space="preserve">Audit logging of access to personal data</w:t>
      </w:r>
    </w:p>
    <w:p>
      <w:pPr>
        <w:pStyle w:val="ListParagraph"/>
        <w:numPr>
          <w:ilvl w:val="0"/>
          <w:numId w:val="2"/>
        </w:numPr>
        <w:spacing w:after="40"/>
      </w:pPr>
      <w:r>
        <w:rPr>
          <w:rFonts w:ascii="Calibri" w:cs="Calibri" w:eastAsia="Calibri" w:hAnsi="Calibri"/>
          <w:sz w:val="15"/>
          <w:szCs w:val="15"/>
        </w:rPr>
        <w:t xml:space="preserve">Regular vulnerability assessment and penetration testing</w:t>
      </w:r>
    </w:p>
    <w:p>
      <w:pPr>
        <w:pStyle w:val="ListParagraph"/>
        <w:numPr>
          <w:ilvl w:val="0"/>
          <w:numId w:val="2"/>
        </w:numPr>
        <w:spacing w:after="40"/>
      </w:pPr>
      <w:r>
        <w:rPr>
          <w:rFonts w:ascii="Calibri" w:cs="Calibri" w:eastAsia="Calibri" w:hAnsi="Calibri"/>
          <w:sz w:val="15"/>
          <w:szCs w:val="15"/>
        </w:rPr>
        <w:t xml:space="preserve">Secure development practices and dependency management</w:t>
      </w:r>
    </w:p>
    <w:p>
      <w:pPr>
        <w:pStyle w:val="ListParagraph"/>
        <w:numPr>
          <w:ilvl w:val="0"/>
          <w:numId w:val="2"/>
        </w:numPr>
        <w:spacing w:after="40"/>
      </w:pPr>
      <w:r>
        <w:rPr>
          <w:rFonts w:ascii="Calibri" w:cs="Calibri" w:eastAsia="Calibri" w:hAnsi="Calibri"/>
          <w:sz w:val="15"/>
          <w:szCs w:val="15"/>
        </w:rPr>
        <w:t xml:space="preserve">Incident response plan including personal data breach scenarios</w:t>
      </w:r>
    </w:p>
    <w:p>
      <w:pPr>
        <w:pStyle w:val="Heading1"/>
        <w:spacing w:after="140" w:before="280"/>
      </w:pPr>
      <w:r>
        <w:rPr>
          <w:rFonts w:ascii="Calibri" w:cs="Calibri" w:eastAsia="Calibri" w:hAnsi="Calibri"/>
          <w:b/>
          <w:bCs/>
          <w:color w:val="1B4F72"/>
          <w:sz w:val="24"/>
          <w:szCs w:val="24"/>
        </w:rPr>
        <w:t xml:space="preserve">9. DATA PROCESSORS &amp; THIRD PARTIES</w:t>
      </w:r>
    </w:p>
    <w:p>
      <w:pPr>
        <w:pStyle w:val="ListParagraph"/>
        <w:numPr>
          <w:ilvl w:val="0"/>
          <w:numId w:val="2"/>
        </w:numPr>
        <w:spacing w:after="40"/>
      </w:pPr>
      <w:r>
        <w:rPr>
          <w:rFonts w:ascii="Calibri" w:cs="Calibri" w:eastAsia="Calibri" w:hAnsi="Calibri"/>
          <w:sz w:val="15"/>
          <w:szCs w:val="15"/>
        </w:rPr>
        <w:t xml:space="preserve">Platform prefers self-hosted or NIC-managed services</w:t>
      </w:r>
    </w:p>
    <w:p>
      <w:pPr>
        <w:pStyle w:val="ListParagraph"/>
        <w:numPr>
          <w:ilvl w:val="0"/>
          <w:numId w:val="2"/>
        </w:numPr>
        <w:spacing w:after="40"/>
      </w:pPr>
      <w:r>
        <w:rPr>
          <w:rFonts w:ascii="Calibri" w:cs="Calibri" w:eastAsia="Calibri" w:hAnsi="Calibri"/>
          <w:sz w:val="15"/>
          <w:szCs w:val="15"/>
        </w:rPr>
        <w:t xml:space="preserve">Any third-party processor must be bound by written contract covering purpose, security, confidentiality, sub-processing, and deletion</w:t>
      </w:r>
    </w:p>
    <w:p>
      <w:pPr>
        <w:pStyle w:val="ListParagraph"/>
        <w:numPr>
          <w:ilvl w:val="0"/>
          <w:numId w:val="2"/>
        </w:numPr>
        <w:spacing w:after="40"/>
      </w:pPr>
      <w:r>
        <w:rPr>
          <w:rFonts w:ascii="Calibri" w:cs="Calibri" w:eastAsia="Calibri" w:hAnsi="Calibri"/>
          <w:sz w:val="15"/>
          <w:szCs w:val="15"/>
        </w:rPr>
        <w:t xml:space="preserve">No sale of personal data</w:t>
      </w:r>
    </w:p>
    <w:p>
      <w:pPr>
        <w:pStyle w:val="ListParagraph"/>
        <w:numPr>
          <w:ilvl w:val="0"/>
          <w:numId w:val="2"/>
        </w:numPr>
        <w:spacing w:after="40"/>
      </w:pPr>
      <w:r>
        <w:rPr>
          <w:rFonts w:ascii="Calibri" w:cs="Calibri" w:eastAsia="Calibri" w:hAnsi="Calibri"/>
          <w:sz w:val="15"/>
          <w:szCs w:val="15"/>
        </w:rPr>
        <w:t xml:space="preserve">No sharing of personal data for commercial advertising</w:t>
      </w:r>
    </w:p>
    <w:p>
      <w:pPr>
        <w:pStyle w:val="ListParagraph"/>
        <w:numPr>
          <w:ilvl w:val="0"/>
          <w:numId w:val="2"/>
        </w:numPr>
        <w:spacing w:after="40"/>
      </w:pPr>
      <w:r>
        <w:rPr>
          <w:rFonts w:ascii="Calibri" w:cs="Calibri" w:eastAsia="Calibri" w:hAnsi="Calibri"/>
          <w:sz w:val="15"/>
          <w:szCs w:val="15"/>
        </w:rPr>
        <w:t xml:space="preserve">Analytics and monitoring tools configured to minimise personal data exposure</w:t>
      </w:r>
    </w:p>
    <w:p>
      <w:pPr>
        <w:pStyle w:val="Heading1"/>
        <w:spacing w:after="140" w:before="280"/>
      </w:pPr>
      <w:r>
        <w:rPr>
          <w:rFonts w:ascii="Calibri" w:cs="Calibri" w:eastAsia="Calibri" w:hAnsi="Calibri"/>
          <w:b/>
          <w:bCs/>
          <w:color w:val="1B4F72"/>
          <w:sz w:val="24"/>
          <w:szCs w:val="24"/>
        </w:rPr>
        <w:t xml:space="preserve">10. PERSONAL DATA BREACH MANAGEMENT</w:t>
      </w:r>
    </w:p>
    <w:p>
      <w:pPr>
        <w:pStyle w:val="Heading2"/>
        <w:spacing w:after="90" w:before="200"/>
      </w:pPr>
      <w:r>
        <w:rPr>
          <w:rFonts w:ascii="Calibri" w:cs="Calibri" w:eastAsia="Calibri" w:hAnsi="Calibri"/>
          <w:b/>
          <w:bCs/>
          <w:color w:val="2874A6"/>
          <w:sz w:val="18"/>
          <w:szCs w:val="18"/>
        </w:rPr>
        <w:t xml:space="preserve">10.1 Detection &amp; Assessment</w:t>
      </w:r>
    </w:p>
    <w:p>
      <w:pPr>
        <w:pStyle w:val="ListParagraph"/>
        <w:numPr>
          <w:ilvl w:val="0"/>
          <w:numId w:val="2"/>
        </w:numPr>
        <w:spacing w:after="40"/>
      </w:pPr>
      <w:r>
        <w:rPr>
          <w:rFonts w:ascii="Calibri" w:cs="Calibri" w:eastAsia="Calibri" w:hAnsi="Calibri"/>
          <w:sz w:val="15"/>
          <w:szCs w:val="15"/>
        </w:rPr>
        <w:t xml:space="preserve">Security monitoring and alerting for potential unauthorised access or exfiltration</w:t>
      </w:r>
    </w:p>
    <w:p>
      <w:pPr>
        <w:pStyle w:val="ListParagraph"/>
        <w:numPr>
          <w:ilvl w:val="0"/>
          <w:numId w:val="2"/>
        </w:numPr>
        <w:spacing w:after="40"/>
      </w:pPr>
      <w:r>
        <w:rPr>
          <w:rFonts w:ascii="Calibri" w:cs="Calibri" w:eastAsia="Calibri" w:hAnsi="Calibri"/>
          <w:sz w:val="15"/>
          <w:szCs w:val="15"/>
        </w:rPr>
        <w:t xml:space="preserve">Incident classification includes “Personal Data Breach” category</w:t>
      </w:r>
    </w:p>
    <w:p>
      <w:pPr>
        <w:pStyle w:val="ListParagraph"/>
        <w:numPr>
          <w:ilvl w:val="0"/>
          <w:numId w:val="2"/>
        </w:numPr>
        <w:spacing w:after="40"/>
      </w:pPr>
      <w:r>
        <w:rPr>
          <w:rFonts w:ascii="Calibri" w:cs="Calibri" w:eastAsia="Calibri" w:hAnsi="Calibri"/>
          <w:sz w:val="15"/>
          <w:szCs w:val="15"/>
        </w:rPr>
        <w:t xml:space="preserve">Rapid assessment of nature, scope, and risk to Data Principals</w:t>
      </w:r>
    </w:p>
    <w:p>
      <w:pPr>
        <w:pStyle w:val="Heading2"/>
        <w:spacing w:after="90" w:before="200"/>
      </w:pPr>
      <w:r>
        <w:rPr>
          <w:rFonts w:ascii="Calibri" w:cs="Calibri" w:eastAsia="Calibri" w:hAnsi="Calibri"/>
          <w:b/>
          <w:bCs/>
          <w:color w:val="2874A6"/>
          <w:sz w:val="18"/>
          <w:szCs w:val="18"/>
        </w:rPr>
        <w:t xml:space="preserve">10.2 Notification</w:t>
      </w:r>
    </w:p>
    <w:p>
      <w:pPr>
        <w:pStyle w:val="ListParagraph"/>
        <w:numPr>
          <w:ilvl w:val="0"/>
          <w:numId w:val="2"/>
        </w:numPr>
        <w:spacing w:after="40"/>
      </w:pPr>
      <w:r>
        <w:rPr>
          <w:rFonts w:ascii="Calibri" w:cs="Calibri" w:eastAsia="Calibri" w:hAnsi="Calibri"/>
          <w:sz w:val="15"/>
          <w:szCs w:val="15"/>
        </w:rPr>
        <w:t xml:space="preserve">Internal escalation to Privacy / Security lead and Ministry as required</w:t>
      </w:r>
    </w:p>
    <w:p>
      <w:pPr>
        <w:pStyle w:val="ListParagraph"/>
        <w:numPr>
          <w:ilvl w:val="0"/>
          <w:numId w:val="2"/>
        </w:numPr>
        <w:spacing w:after="40"/>
      </w:pPr>
      <w:r>
        <w:rPr>
          <w:rFonts w:ascii="Calibri" w:cs="Calibri" w:eastAsia="Calibri" w:hAnsi="Calibri"/>
          <w:sz w:val="15"/>
          <w:szCs w:val="15"/>
        </w:rPr>
        <w:t xml:space="preserve">Notification to Data Protection Board of India as mandated under DPDP and rules</w:t>
      </w:r>
    </w:p>
    <w:p>
      <w:pPr>
        <w:pStyle w:val="ListParagraph"/>
        <w:numPr>
          <w:ilvl w:val="0"/>
          <w:numId w:val="2"/>
        </w:numPr>
        <w:spacing w:after="40"/>
      </w:pPr>
      <w:r>
        <w:rPr>
          <w:rFonts w:ascii="Calibri" w:cs="Calibri" w:eastAsia="Calibri" w:hAnsi="Calibri"/>
          <w:sz w:val="15"/>
          <w:szCs w:val="15"/>
        </w:rPr>
        <w:t xml:space="preserve">Communication to affected Data Principals where required, in clear language</w:t>
      </w:r>
    </w:p>
    <w:p>
      <w:pPr>
        <w:pStyle w:val="ListParagraph"/>
        <w:numPr>
          <w:ilvl w:val="0"/>
          <w:numId w:val="2"/>
        </w:numPr>
        <w:spacing w:after="40"/>
      </w:pPr>
      <w:r>
        <w:rPr>
          <w:rFonts w:ascii="Calibri" w:cs="Calibri" w:eastAsia="Calibri" w:hAnsi="Calibri"/>
          <w:sz w:val="15"/>
          <w:szCs w:val="15"/>
        </w:rPr>
        <w:t xml:space="preserve">Documentation of breach, response, and remediation</w:t>
      </w:r>
    </w:p>
    <w:p>
      <w:pPr>
        <w:pStyle w:val="Heading1"/>
        <w:spacing w:after="140" w:before="280"/>
      </w:pPr>
      <w:r>
        <w:rPr>
          <w:rFonts w:ascii="Calibri" w:cs="Calibri" w:eastAsia="Calibri" w:hAnsi="Calibri"/>
          <w:b/>
          <w:bCs/>
          <w:color w:val="1B4F72"/>
          <w:sz w:val="24"/>
          <w:szCs w:val="24"/>
        </w:rPr>
        <w:t xml:space="preserve">11. PRIVACY BY DESIGN &amp; DEFAULT</w:t>
      </w:r>
    </w:p>
    <w:p>
      <w:pPr>
        <w:pStyle w:val="ListParagraph"/>
        <w:numPr>
          <w:ilvl w:val="0"/>
          <w:numId w:val="2"/>
        </w:numPr>
        <w:spacing w:after="40"/>
      </w:pPr>
      <w:r>
        <w:rPr>
          <w:rFonts w:ascii="Calibri" w:cs="Calibri" w:eastAsia="Calibri" w:hAnsi="Calibri"/>
          <w:sz w:val="15"/>
          <w:szCs w:val="15"/>
        </w:rPr>
        <w:t xml:space="preserve">Privacy impact considered in new feature design</w:t>
      </w:r>
    </w:p>
    <w:p>
      <w:pPr>
        <w:pStyle w:val="ListParagraph"/>
        <w:numPr>
          <w:ilvl w:val="0"/>
          <w:numId w:val="2"/>
        </w:numPr>
        <w:spacing w:after="40"/>
      </w:pPr>
      <w:r>
        <w:rPr>
          <w:rFonts w:ascii="Calibri" w:cs="Calibri" w:eastAsia="Calibri" w:hAnsi="Calibri"/>
          <w:sz w:val="15"/>
          <w:szCs w:val="15"/>
        </w:rPr>
        <w:t xml:space="preserve">Default settings favour privacy (e.g., minimal data sharing, conservative notification settings)</w:t>
      </w:r>
    </w:p>
    <w:p>
      <w:pPr>
        <w:pStyle w:val="ListParagraph"/>
        <w:numPr>
          <w:ilvl w:val="0"/>
          <w:numId w:val="2"/>
        </w:numPr>
        <w:spacing w:after="40"/>
      </w:pPr>
      <w:r>
        <w:rPr>
          <w:rFonts w:ascii="Calibri" w:cs="Calibri" w:eastAsia="Calibri" w:hAnsi="Calibri"/>
          <w:sz w:val="15"/>
          <w:szCs w:val="15"/>
        </w:rPr>
        <w:t xml:space="preserve">Data Protection Impact Assessment (DPIA) recommended for high-risk processing (e.g., large-scale profiling, children’s data)</w:t>
      </w:r>
    </w:p>
    <w:p>
      <w:pPr>
        <w:pStyle w:val="ListParagraph"/>
        <w:numPr>
          <w:ilvl w:val="0"/>
          <w:numId w:val="2"/>
        </w:numPr>
        <w:spacing w:after="40"/>
      </w:pPr>
      <w:r>
        <w:rPr>
          <w:rFonts w:ascii="Calibri" w:cs="Calibri" w:eastAsia="Calibri" w:hAnsi="Calibri"/>
          <w:sz w:val="15"/>
          <w:szCs w:val="15"/>
        </w:rPr>
        <w:t xml:space="preserve">Regular review of data flows and third-party integrations</w:t>
      </w:r>
    </w:p>
    <w:p>
      <w:pPr>
        <w:pStyle w:val="ListParagraph"/>
        <w:numPr>
          <w:ilvl w:val="0"/>
          <w:numId w:val="2"/>
        </w:numPr>
        <w:spacing w:after="40"/>
      </w:pPr>
      <w:r>
        <w:rPr>
          <w:rFonts w:ascii="Calibri" w:cs="Calibri" w:eastAsia="Calibri" w:hAnsi="Calibri"/>
          <w:sz w:val="15"/>
          <w:szCs w:val="15"/>
        </w:rPr>
        <w:t xml:space="preserve">Training for engineering, product, and support teams on privacy obligations</w:t>
      </w:r>
    </w:p>
    <w:p>
      <w:pPr>
        <w:pStyle w:val="Heading1"/>
        <w:spacing w:after="140" w:before="280"/>
      </w:pPr>
      <w:r>
        <w:rPr>
          <w:rFonts w:ascii="Calibri" w:cs="Calibri" w:eastAsia="Calibri" w:hAnsi="Calibri"/>
          <w:b/>
          <w:bCs/>
          <w:color w:val="1B4F72"/>
          <w:sz w:val="24"/>
          <w:szCs w:val="24"/>
        </w:rPr>
        <w:t xml:space="preserve">12. TRANSPARENCY &amp; PRIVACY NOTICE</w:t>
      </w:r>
    </w:p>
    <w:p>
      <w:pPr>
        <w:pStyle w:val="ListParagraph"/>
        <w:numPr>
          <w:ilvl w:val="0"/>
          <w:numId w:val="2"/>
        </w:numPr>
        <w:spacing w:after="40"/>
      </w:pPr>
      <w:r>
        <w:rPr>
          <w:rFonts w:ascii="Calibri" w:cs="Calibri" w:eastAsia="Calibri" w:hAnsi="Calibri"/>
          <w:sz w:val="15"/>
          <w:szCs w:val="15"/>
        </w:rPr>
        <w:t xml:space="preserve">Privacy Notice published in clear, plain language</w:t>
      </w:r>
    </w:p>
    <w:p>
      <w:pPr>
        <w:pStyle w:val="ListParagraph"/>
        <w:numPr>
          <w:ilvl w:val="0"/>
          <w:numId w:val="2"/>
        </w:numPr>
        <w:spacing w:after="40"/>
      </w:pPr>
      <w:r>
        <w:rPr>
          <w:rFonts w:ascii="Calibri" w:cs="Calibri" w:eastAsia="Calibri" w:hAnsi="Calibri"/>
          <w:sz w:val="15"/>
          <w:szCs w:val="15"/>
        </w:rPr>
        <w:t xml:space="preserve">Available in Hindi and English at minimum; other languages phased</w:t>
      </w:r>
    </w:p>
    <w:p>
      <w:pPr>
        <w:pStyle w:val="ListParagraph"/>
        <w:numPr>
          <w:ilvl w:val="0"/>
          <w:numId w:val="2"/>
        </w:numPr>
        <w:spacing w:after="40"/>
      </w:pPr>
      <w:r>
        <w:rPr>
          <w:rFonts w:ascii="Calibri" w:cs="Calibri" w:eastAsia="Calibri" w:hAnsi="Calibri"/>
          <w:sz w:val="15"/>
          <w:szCs w:val="15"/>
        </w:rPr>
        <w:t xml:space="preserve">Covers: identity of Data Fiduciary, purposes, categories of data, rights, grievance mechanism, contact details</w:t>
      </w:r>
    </w:p>
    <w:p>
      <w:pPr>
        <w:pStyle w:val="ListParagraph"/>
        <w:numPr>
          <w:ilvl w:val="0"/>
          <w:numId w:val="2"/>
        </w:numPr>
        <w:spacing w:after="40"/>
      </w:pPr>
      <w:r>
        <w:rPr>
          <w:rFonts w:ascii="Calibri" w:cs="Calibri" w:eastAsia="Calibri" w:hAnsi="Calibri"/>
          <w:sz w:val="15"/>
          <w:szCs w:val="15"/>
        </w:rPr>
        <w:t xml:space="preserve">Versioned; material changes communicated to users</w:t>
      </w:r>
    </w:p>
    <w:p>
      <w:pPr>
        <w:pStyle w:val="ListParagraph"/>
        <w:numPr>
          <w:ilvl w:val="0"/>
          <w:numId w:val="2"/>
        </w:numPr>
        <w:spacing w:after="40"/>
      </w:pPr>
      <w:r>
        <w:rPr>
          <w:rFonts w:ascii="Calibri" w:cs="Calibri" w:eastAsia="Calibri" w:hAnsi="Calibri"/>
          <w:sz w:val="15"/>
          <w:szCs w:val="15"/>
        </w:rPr>
        <w:t xml:space="preserve">Accessible from registration, settings, and website footer</w:t>
      </w:r>
    </w:p>
    <w:p>
      <w:pPr>
        <w:pStyle w:val="Heading1"/>
        <w:spacing w:after="140" w:before="280"/>
      </w:pPr>
      <w:r>
        <w:rPr>
          <w:rFonts w:ascii="Calibri" w:cs="Calibri" w:eastAsia="Calibri" w:hAnsi="Calibri"/>
          <w:b/>
          <w:bCs/>
          <w:color w:val="1B4F72"/>
          <w:sz w:val="24"/>
          <w:szCs w:val="24"/>
        </w:rPr>
        <w:t xml:space="preserve">13. PRIVACY GOVERNANCE</w:t>
      </w:r>
    </w:p>
    <w:p>
      <w:pPr>
        <w:pStyle w:val="Heading2"/>
        <w:spacing w:after="90" w:before="200"/>
      </w:pPr>
      <w:r>
        <w:rPr>
          <w:rFonts w:ascii="Calibri" w:cs="Calibri" w:eastAsia="Calibri" w:hAnsi="Calibri"/>
          <w:b/>
          <w:bCs/>
          <w:color w:val="2874A6"/>
          <w:sz w:val="18"/>
          <w:szCs w:val="18"/>
        </w:rPr>
        <w:t xml:space="preserve">13.1 Roles</w:t>
      </w:r>
    </w:p>
    <w:p>
      <w:pPr>
        <w:pStyle w:val="ListParagraph"/>
        <w:numPr>
          <w:ilvl w:val="0"/>
          <w:numId w:val="2"/>
        </w:numPr>
        <w:spacing w:after="40"/>
      </w:pPr>
      <w:r>
        <w:rPr>
          <w:rFonts w:ascii="Calibri" w:cs="Calibri" w:eastAsia="Calibri" w:hAnsi="Calibri"/>
          <w:sz w:val="15"/>
          <w:szCs w:val="15"/>
        </w:rPr>
        <w:t xml:space="preserve">Data Protection Officer / Privacy Lead (designated)</w:t>
      </w:r>
    </w:p>
    <w:p>
      <w:pPr>
        <w:pStyle w:val="ListParagraph"/>
        <w:numPr>
          <w:ilvl w:val="0"/>
          <w:numId w:val="2"/>
        </w:numPr>
        <w:spacing w:after="40"/>
      </w:pPr>
      <w:r>
        <w:rPr>
          <w:rFonts w:ascii="Calibri" w:cs="Calibri" w:eastAsia="Calibri" w:hAnsi="Calibri"/>
          <w:sz w:val="15"/>
          <w:szCs w:val="15"/>
        </w:rPr>
        <w:t xml:space="preserve">Security Architect — technical controls</w:t>
      </w:r>
    </w:p>
    <w:p>
      <w:pPr>
        <w:pStyle w:val="ListParagraph"/>
        <w:numPr>
          <w:ilvl w:val="0"/>
          <w:numId w:val="2"/>
        </w:numPr>
        <w:spacing w:after="40"/>
      </w:pPr>
      <w:r>
        <w:rPr>
          <w:rFonts w:ascii="Calibri" w:cs="Calibri" w:eastAsia="Calibri" w:hAnsi="Calibri"/>
          <w:sz w:val="15"/>
          <w:szCs w:val="15"/>
        </w:rPr>
        <w:t xml:space="preserve">Product &amp; Engineering — privacy by design implementation</w:t>
      </w:r>
    </w:p>
    <w:p>
      <w:pPr>
        <w:pStyle w:val="ListParagraph"/>
        <w:numPr>
          <w:ilvl w:val="0"/>
          <w:numId w:val="2"/>
        </w:numPr>
        <w:spacing w:after="40"/>
      </w:pPr>
      <w:r>
        <w:rPr>
          <w:rFonts w:ascii="Calibri" w:cs="Calibri" w:eastAsia="Calibri" w:hAnsi="Calibri"/>
          <w:sz w:val="15"/>
          <w:szCs w:val="15"/>
        </w:rPr>
        <w:t xml:space="preserve">Legal / Compliance — regulatory interpretation and external interface</w:t>
      </w:r>
    </w:p>
    <w:p>
      <w:pPr>
        <w:pStyle w:val="ListParagraph"/>
        <w:numPr>
          <w:ilvl w:val="0"/>
          <w:numId w:val="2"/>
        </w:numPr>
        <w:spacing w:after="40"/>
      </w:pPr>
      <w:r>
        <w:rPr>
          <w:rFonts w:ascii="Calibri" w:cs="Calibri" w:eastAsia="Calibri" w:hAnsi="Calibri"/>
          <w:sz w:val="15"/>
          <w:szCs w:val="15"/>
        </w:rPr>
        <w:t xml:space="preserve">Ministry oversight — policy alignment and escalation</w:t>
      </w:r>
    </w:p>
    <w:p>
      <w:pPr>
        <w:pStyle w:val="Heading2"/>
        <w:spacing w:after="90" w:before="200"/>
      </w:pPr>
      <w:r>
        <w:rPr>
          <w:rFonts w:ascii="Calibri" w:cs="Calibri" w:eastAsia="Calibri" w:hAnsi="Calibri"/>
          <w:b/>
          <w:bCs/>
          <w:color w:val="2874A6"/>
          <w:sz w:val="18"/>
          <w:szCs w:val="18"/>
        </w:rPr>
        <w:t xml:space="preserve">13.2 Accountability Measures</w:t>
      </w:r>
    </w:p>
    <w:p>
      <w:pPr>
        <w:pStyle w:val="ListParagraph"/>
        <w:numPr>
          <w:ilvl w:val="0"/>
          <w:numId w:val="2"/>
        </w:numPr>
        <w:spacing w:after="40"/>
      </w:pPr>
      <w:r>
        <w:rPr>
          <w:rFonts w:ascii="Calibri" w:cs="Calibri" w:eastAsia="Calibri" w:hAnsi="Calibri"/>
          <w:sz w:val="15"/>
          <w:szCs w:val="15"/>
        </w:rPr>
        <w:t xml:space="preserve">Maintained Record of Processing Activities (ROPA)</w:t>
      </w:r>
    </w:p>
    <w:p>
      <w:pPr>
        <w:pStyle w:val="ListParagraph"/>
        <w:numPr>
          <w:ilvl w:val="0"/>
          <w:numId w:val="2"/>
        </w:numPr>
        <w:spacing w:after="40"/>
      </w:pPr>
      <w:r>
        <w:rPr>
          <w:rFonts w:ascii="Calibri" w:cs="Calibri" w:eastAsia="Calibri" w:hAnsi="Calibri"/>
          <w:sz w:val="15"/>
          <w:szCs w:val="15"/>
        </w:rPr>
        <w:t xml:space="preserve">Periodic privacy compliance reviews</w:t>
      </w:r>
    </w:p>
    <w:p>
      <w:pPr>
        <w:pStyle w:val="ListParagraph"/>
        <w:numPr>
          <w:ilvl w:val="0"/>
          <w:numId w:val="2"/>
        </w:numPr>
        <w:spacing w:after="40"/>
      </w:pPr>
      <w:r>
        <w:rPr>
          <w:rFonts w:ascii="Calibri" w:cs="Calibri" w:eastAsia="Calibri" w:hAnsi="Calibri"/>
          <w:sz w:val="15"/>
          <w:szCs w:val="15"/>
        </w:rPr>
        <w:t xml:space="preserve">Audit readiness for DPDP and government audits</w:t>
      </w:r>
    </w:p>
    <w:p>
      <w:pPr>
        <w:pStyle w:val="ListParagraph"/>
        <w:numPr>
          <w:ilvl w:val="0"/>
          <w:numId w:val="2"/>
        </w:numPr>
        <w:spacing w:after="40"/>
      </w:pPr>
      <w:r>
        <w:rPr>
          <w:rFonts w:ascii="Calibri" w:cs="Calibri" w:eastAsia="Calibri" w:hAnsi="Calibri"/>
          <w:sz w:val="15"/>
          <w:szCs w:val="15"/>
        </w:rPr>
        <w:t xml:space="preserve">Documented policies for consent, retention, erasure, and breach</w:t>
      </w:r>
    </w:p>
    <w:p>
      <w:pPr>
        <w:pStyle w:val="Heading1"/>
        <w:spacing w:after="140" w:before="280"/>
      </w:pPr>
      <w:r>
        <w:rPr>
          <w:rFonts w:ascii="Calibri" w:cs="Calibri" w:eastAsia="Calibri" w:hAnsi="Calibri"/>
          <w:b/>
          <w:bCs/>
          <w:color w:val="1B4F72"/>
          <w:sz w:val="24"/>
          <w:szCs w:val="24"/>
        </w:rPr>
        <w:t xml:space="preserve">14. OPEN ITEMS &amp; FUTURE WORK</w:t>
      </w:r>
    </w:p>
    <w:p>
      <w:pPr>
        <w:pStyle w:val="ListParagraph"/>
        <w:numPr>
          <w:ilvl w:val="0"/>
          <w:numId w:val="2"/>
        </w:numPr>
        <w:spacing w:after="40"/>
      </w:pPr>
      <w:r>
        <w:rPr>
          <w:rFonts w:ascii="Calibri" w:cs="Calibri" w:eastAsia="Calibri" w:hAnsi="Calibri"/>
          <w:sz w:val="15"/>
          <w:szCs w:val="15"/>
        </w:rPr>
        <w:t xml:space="preserve">Final designation of Data Protection Officer / equivalent role</w:t>
      </w:r>
    </w:p>
    <w:p>
      <w:pPr>
        <w:pStyle w:val="ListParagraph"/>
        <w:numPr>
          <w:ilvl w:val="0"/>
          <w:numId w:val="2"/>
        </w:numPr>
        <w:spacing w:after="40"/>
      </w:pPr>
      <w:r>
        <w:rPr>
          <w:rFonts w:ascii="Calibri" w:cs="Calibri" w:eastAsia="Calibri" w:hAnsi="Calibri"/>
          <w:sz w:val="15"/>
          <w:szCs w:val="15"/>
        </w:rPr>
        <w:t xml:space="preserve">Detailed Record of Processing Activities (ROPA) population</w:t>
      </w:r>
    </w:p>
    <w:p>
      <w:pPr>
        <w:pStyle w:val="ListParagraph"/>
        <w:numPr>
          <w:ilvl w:val="0"/>
          <w:numId w:val="2"/>
        </w:numPr>
        <w:spacing w:after="40"/>
      </w:pPr>
      <w:r>
        <w:rPr>
          <w:rFonts w:ascii="Calibri" w:cs="Calibri" w:eastAsia="Calibri" w:hAnsi="Calibri"/>
          <w:sz w:val="15"/>
          <w:szCs w:val="15"/>
        </w:rPr>
        <w:t xml:space="preserve">Formal DPIA for children’s data and large-scale profiling features</w:t>
      </w:r>
    </w:p>
    <w:p>
      <w:pPr>
        <w:pStyle w:val="ListParagraph"/>
        <w:numPr>
          <w:ilvl w:val="0"/>
          <w:numId w:val="2"/>
        </w:numPr>
        <w:spacing w:after="40"/>
      </w:pPr>
      <w:r>
        <w:rPr>
          <w:rFonts w:ascii="Calibri" w:cs="Calibri" w:eastAsia="Calibri" w:hAnsi="Calibri"/>
          <w:sz w:val="15"/>
          <w:szCs w:val="15"/>
        </w:rPr>
        <w:t xml:space="preserve">Privacy Notice final legal text and multilingual versions</w:t>
      </w:r>
    </w:p>
    <w:p>
      <w:pPr>
        <w:pStyle w:val="ListParagraph"/>
        <w:numPr>
          <w:ilvl w:val="0"/>
          <w:numId w:val="2"/>
        </w:numPr>
        <w:spacing w:after="40"/>
      </w:pPr>
      <w:r>
        <w:rPr>
          <w:rFonts w:ascii="Calibri" w:cs="Calibri" w:eastAsia="Calibri" w:hAnsi="Calibri"/>
          <w:sz w:val="15"/>
          <w:szCs w:val="15"/>
        </w:rPr>
        <w:t xml:space="preserve">Integration with any future Consent Manager registered under DPDP rules</w:t>
      </w:r>
    </w:p>
    <w:p>
      <w:pPr>
        <w:pStyle w:val="ListParagraph"/>
        <w:numPr>
          <w:ilvl w:val="0"/>
          <w:numId w:val="2"/>
        </w:numPr>
        <w:spacing w:after="40"/>
      </w:pPr>
      <w:r>
        <w:rPr>
          <w:rFonts w:ascii="Calibri" w:cs="Calibri" w:eastAsia="Calibri" w:hAnsi="Calibri"/>
          <w:sz w:val="15"/>
          <w:szCs w:val="15"/>
        </w:rPr>
        <w:t xml:space="preserve">Specific timelines and templates for Data Principal request handling (SLA)</w:t>
      </w:r>
    </w:p>
    <w:p>
      <w:pPr>
        <w:spacing w:after="160"/>
      </w:pPr>
    </w:p>
    <w:p>
      <w:pPr>
        <w:jc w:val="center"/>
      </w:pPr>
      <w:r>
        <w:rPr>
          <w:rFonts w:ascii="Calibri" w:cs="Calibri" w:eastAsia="Calibri" w:hAnsi="Calibri"/>
          <w:i/>
          <w:iCs/>
          <w:color w:val="666666"/>
          <w:sz w:val="14"/>
          <w:szCs w:val="14"/>
        </w:rPr>
        <w:t xml:space="preserve">— End of Data Privacy &amp; Compliance Document —</w:t>
      </w:r>
    </w:p>
    <w:p>
      <w:pPr>
        <w:spacing w:before="40"/>
        <w:jc w:val="center"/>
      </w:pPr>
      <w:r>
        <w:rPr>
          <w:rFonts w:ascii="Calibri" w:cs="Calibri" w:eastAsia="Calibri" w:hAnsi="Calibri"/>
          <w:color w:val="888888"/>
          <w:sz w:val="12"/>
          <w:szCs w:val="12"/>
        </w:rPr>
        <w:t xml:space="preserve">ParikshaSetu Data Privacy &amp; Compliance Document v1.0  |  August 2026  |  Confidential</w:t>
      </w:r>
    </w:p>
    <w:sectPr>
      <w:headerReference w:type="default" r:id="rId7"/>
      <w:footerReference w:type="default" r:id="rId8"/>
      <w:pgSz w:w="12240" w:h="15840" w:orient="portrait"/>
      <w:pgMar w:top="1008" w:right="860" w:bottom="1008"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4"/>
      </w:pBdr>
      <w:spacing w:before="50"/>
    </w:pPr>
    <w:r>
      <w:rPr>
        <w:rFonts w:ascii="Calibri" w:cs="Calibri" w:eastAsia="Calibri" w:hAnsi="Calibri"/>
        <w:color w:val="666666"/>
        <w:sz w:val="11"/>
        <w:szCs w:val="11"/>
      </w:rPr>
      <w:t xml:space="preserve">Ministry of Education, Government of India  |  Internal Use Only</w:t>
    </w:r>
    <w:r>
      <w:rPr>
        <w:sz w:val="11"/>
        <w:szCs w:val="11"/>
      </w:rPr>
      <w:t xml:space="preserve">                                              </w:t>
    </w:r>
    <w:r>
      <w:rPr>
        <w:rFonts w:ascii="Calibri" w:cs="Calibri" w:eastAsia="Calibri" w:hAnsi="Calibri"/>
        <w:color w:val="666666"/>
        <w:sz w:val="11"/>
        <w:szCs w:val="11"/>
      </w:rPr>
      <w:t xml:space="preserve">Page </w:t>
    </w:r>
    <w:r>
      <w:rPr>
        <w:rFonts w:ascii="Calibri" w:cs="Calibri" w:eastAsia="Calibri" w:hAnsi="Calibri"/>
        <w:color w:val="666666"/>
        <w:sz w:val="11"/>
        <w:szCs w:val="11"/>
      </w:rPr>
      <w:fldChar w:fldCharType="begin"/>
      <w:instrText xml:space="preserve">PAGE</w:instrText>
      <w:fldChar w:fldCharType="separate"/>
      <w:fldChar w:fldCharType="end"/>
    </w:r>
    <w:r>
      <w:rPr>
        <w:rFonts w:ascii="Calibri" w:cs="Calibri" w:eastAsia="Calibri" w:hAnsi="Calibri"/>
        <w:color w:val="666666"/>
        <w:sz w:val="11"/>
        <w:szCs w:val="11"/>
      </w:rPr>
      <w:t xml:space="preserve"> of </w:t>
    </w:r>
    <w:r>
      <w:rPr>
        <w:rFonts w:ascii="Calibri" w:cs="Calibri" w:eastAsia="Calibri" w:hAnsi="Calibri"/>
        <w:color w:val="666666"/>
        <w:sz w:val="11"/>
        <w:szCs w:val="11"/>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4"/>
      </w:pBdr>
      <w:spacing w:after="70"/>
    </w:pPr>
    <w:r>
      <w:rPr>
        <w:rFonts w:ascii="Calibri" w:cs="Calibri" w:eastAsia="Calibri" w:hAnsi="Calibri"/>
        <w:b/>
        <w:bCs/>
        <w:color w:val="1B4F72"/>
        <w:sz w:val="12"/>
        <w:szCs w:val="12"/>
      </w:rPr>
      <w:t xml:space="preserve">ParikshaSetu  |  Data Privacy &amp; Compliance Document</w:t>
    </w:r>
    <w:r>
      <w:rPr>
        <w:sz w:val="12"/>
        <w:szCs w:val="12"/>
      </w:rPr>
      <w:t xml:space="preserve">                                                    </w:t>
    </w:r>
    <w:r>
      <w:rPr>
        <w:rFonts w:ascii="Calibri" w:cs="Calibri" w:eastAsia="Calibri" w:hAnsi="Calibri"/>
        <w:i/>
        <w:iCs/>
        <w:color w:val="C0392B"/>
        <w:sz w:val="12"/>
        <w:szCs w:val="12"/>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B4F72"/>
      <w:sz w:val="24"/>
      <w:szCs w:val="24"/>
    </w:rPr>
  </w:style>
  <w:style w:type="paragraph" w:styleId="Heading2">
    <w:name w:val="Heading 2"/>
    <w:basedOn w:val="Normal"/>
    <w:next w:val="Normal"/>
    <w:qFormat/>
    <w:pPr>
      <w:spacing w:after="90" w:before="200"/>
      <w:outlineLvl w:val="1"/>
    </w:pPr>
    <w:rPr>
      <w:rFonts w:ascii="Calibri" w:cs="Calibri" w:eastAsia="Calibri" w:hAnsi="Calibri"/>
      <w:b/>
      <w:bCs/>
      <w:color w:val="2874A6"/>
      <w:sz w:val="18"/>
      <w:szCs w:val="18"/>
    </w:rPr>
  </w:style>
  <w:style w:type="paragraph" w:styleId="Heading3">
    <w:name w:val="Heading 3"/>
    <w:basedOn w:val="Normal"/>
    <w:next w:val="Normal"/>
    <w:qFormat/>
    <w:pPr>
      <w:spacing w:after="60" w:before="140"/>
      <w:outlineLvl w:val="2"/>
    </w:pPr>
    <w:rPr>
      <w:rFonts w:ascii="Calibri" w:cs="Calibri" w:eastAsia="Calibri" w:hAnsi="Calibri"/>
      <w:b/>
      <w:bCs/>
      <w:color w:val="1A5276"/>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2026-08-19T06:17:55.532Z</dcterms:created>
  <dcterms:modified xsi:type="dcterms:W3CDTF">2026-08-19T06:17:55.532Z</dcterms:modified>
</cp:coreProperties>
</file>

<file path=docProps/custom.xml><?xml version="1.0" encoding="utf-8"?>
<Properties xmlns="http://schemas.openxmlformats.org/officeDocument/2006/custom-properties" xmlns:vt="http://schemas.openxmlformats.org/officeDocument/2006/docPropsVTypes"/>
</file>