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ParikshaSetu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2874A6"/>
          <w:sz w:val="16"/>
          <w:szCs w:val="16"/>
        </w:rPr>
        <w:t xml:space="preserve">National Free Competitive Exam Coaching Platform</w:t>
      </w:r>
    </w:p>
    <w:p>
      <w:pPr>
        <w:spacing w:after="80"/>
      </w:pPr>
    </w:p>
    <w:p>
      <w:pPr>
        <w:pBdr>
          <w:bottom w:val="single" w:color="1B4F72" w:sz="14" w:space="1"/>
        </w:pBdr>
        <w:spacing w:after="80"/>
        <w:jc w:val="center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RISK REGISTER (LIVE)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14"/>
          <w:szCs w:val="14"/>
        </w:rPr>
        <w:t xml:space="preserve">Project, Technical, Operational, Security &amp; Compliance Risks</w:t>
      </w:r>
    </w:p>
    <w:p>
      <w:pPr>
        <w:spacing w:after="13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Version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v1.0 — Initial Baseline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Status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Living Document — Review Bi-Weekly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Based 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PRD Risk Register + All Architecture Documents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19 August 2026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Confidential — Government Submission</w:t>
            </w:r>
          </w:p>
        </w:tc>
      </w:tr>
    </w:tbl>
    <w:p>
      <w:pPr>
        <w:spacing w:after="14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"Identify early. Mitigate continuously. Never surprise the Ministry."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1. INTRODUCTION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This Risk Register is the living inventory of risks that could affect the successful delivery, operation, security, or reputation of ParikshaSetu. It is reviewed regularly, owned by the Project/Program leadership, and used to drive mitigation actions and governance decisions.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1.2 Risk Scoring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Likelihood and Impact are scored 1 (Low) to 5 (Critical). Risk Score = Likelihood × Impact. Colour coding: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B7B1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15–25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Critical — Immediate attention, executive visibility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8–14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High — Active mitigation required, tracked weekly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4–7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Medium — Monitored, mitigation planned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1–3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Low — Accepted or routinely managed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1.3 Status Definitions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Open — Risk is active; mitigation in progress or not started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Mitigating — Actions underway; residual risk still material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Monitoring — Mitigation in place; watching for changes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Closed — Risk no longer applicable or fully accepted with residual noted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Accepted — Conscious decision to accept residual risk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2. RISK REGISTER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2.1 Technical &amp; Architecture Risks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900"/>
        <w:gridCol w:w="900"/>
        <w:gridCol w:w="2800"/>
        <w:gridCol w:w="2200"/>
      </w:tblGrid>
      <w:tr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Risk Description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L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Mitigation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Owner / Status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T-01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Server / platform overload at launch due to high demand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B7B1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Pre-scale 2× expected load; rate-limit registrations in waves; load test before launch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Platform Lead
Open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T-02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Live class concurrent viewers exceed SFU capacity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B7B1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HLS + YouTube overflow; rigorous load testing; capacity planning; auto-scale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Live Class Owner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T-03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AI model latency or accuracy issues at scale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Caching; quantisation; fallback responses; continuous evaluation set; model versioning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AI Lead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T-04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GPU capacity or cost constraints for AI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Model tiering; request batching; caching; NIC GPU quota planning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AI + Platform
Open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T-05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Vendor lock-in on live streaming provider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Abstract behind internal interface; prefer open WebRTC/HLS standards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Architecture
Monitoring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T-06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Operational complexity of many microservices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Start coarser; split only when needed; strong platform tooling &amp; observability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Architecture
Monitoring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T-07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Aadhaar / DigiLocker API downtime affecting registration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Mobile OTP is primary; Aadhaar optional; graceful fallback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Auth Owner
Monitoring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2.2 Content &amp; Quality Risks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900"/>
        <w:gridCol w:w="900"/>
        <w:gridCol w:w="2800"/>
        <w:gridCol w:w="2200"/>
      </w:tblGrid>
      <w:tr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Risk Description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L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Mitigation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Owner / Status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C-01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Low-quality or incorrect content from teachers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Strict 5-step verification; expert review; student ratings; rapid unpublish path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Content Ops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C-02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Political pressure to include unqualified teachers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Ministry-appointed independent expert panel controls verification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Content + Ministry
Monitoring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C-03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Teacher exodus if honorarium not competitive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Clear honorarium structure; recognition &amp; branding for teachers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Content + Commercial
Open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C-04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Content piracy / unauthorised redistribution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DRM on downloads; watermarking; content is free so incentive is lower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Media + Security
Monitoring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2.3 Project &amp; Delivery Risks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900"/>
        <w:gridCol w:w="900"/>
        <w:gridCol w:w="2800"/>
        <w:gridCol w:w="2200"/>
      </w:tblGrid>
      <w:tr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Risk Description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L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Mitigation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Owner / Status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P-01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Slow government approval cycles delaying launch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B7B1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Submit with working MVP; parallel state partnerships; clear escalation path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Program Lead
Open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P-02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Scope creep from additional exam or feature demands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Strict change control; phase-gate prioritisation; explicit non-goals in PRD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Product + Program
Monitoring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P-03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Key person dependency in architecture or AI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Documentation; pair ownership; knowledge sharing; ADRs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CTO / Architecture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P-04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Insufficient NIC capacity or quota delays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Early engagement with NIC; capacity forecasts; phased growth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Platform + NIC Liaison
Open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2.4 Security, Privacy &amp; Compliance Risks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900"/>
        <w:gridCol w:w="900"/>
        <w:gridCol w:w="2800"/>
        <w:gridCol w:w="2200"/>
      </w:tblGrid>
      <w:tr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Risk Description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L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Mitigation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Owner / Status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S-01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Data breach or major privacy incident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Defence-in-depth; encryption; least privilege; VAPT; incident response; DPDP alignment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Security Lead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S-02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Non-compliance with DPDP Act 2023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Privacy by design; consent flows; parental consent; data localisation; DPIA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Privacy Lead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S-03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Credential stuffing / account takeover wave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Rate limiting; anomaly detection; optional step-up verification; session monitoring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Security + Auth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S-04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Insider threat (malicious or negligent admin)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Least privilege; audit logging; dual control for critical actions; background checks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Security + HR
Monitoring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2.5 Operational &amp; External Risks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900"/>
        <w:gridCol w:w="900"/>
        <w:gridCol w:w="2800"/>
        <w:gridCol w:w="2200"/>
      </w:tblGrid>
      <w:tr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Risk Description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L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Mitigation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Owner / Status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O-01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Competing platforms lobby against government free offering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Platform is free &amp; government-backed; private sector cannot block policy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Program + Ministry
Accepted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O-02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SMS gateway cost or delivery failure at scale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Dual provider; DLT compliance; rate controls; cost monitoring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Notification Owner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O-03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Low adoption in rural / low-connectivity areas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Offline mode; 144p video; SMS features; DD Free Dish (Phase 3); awareness campaigns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Product + Partnerships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O-04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Reputational damage from content controversy or outage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Strong moderation; rapid response; clear communication protocols; DR readiness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Program + Comms
Monitoring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3. RISK SUMMARY DASHBOARD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Count (Open/Mitigating)</w:t>
            </w:r>
          </w:p>
        </w:tc>
        <w:tc>
          <w:tcPr>
            <w:tcW w:type="dxa" w:w="4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Highest Score Items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Technical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T-01 (20), T-02 (15)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C-01, C-02, C-03 (12)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Project / Delivery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P-01 (16)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Security / Privacy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S-01 to S-04 (10–12)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Operational / External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O-02, O-03 (12)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4. RISK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Risk Register Owner: Program / Project Manager with Architecture &amp; Security input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Review cadence: Bi-weekly in project governance; monthly deeper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Critical risks (score ≥ 15) escalated to Steering Committee / Ministry immediately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New risks can be raised by any team member via defined channel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Closed risks retained in archive for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This document is the baseline; the live version should be maintained in a collaborative tool (e.g., spreadsheet or risk module) with change history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5. IMMEDIATE PRIORITY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T-01: Complete pre-launch load test plan and capacity reservation with NIC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T-02: Finalise live class overflow architecture and test to 15 lakh concurrent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P-01: Map approval dependencies and create parallel-track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C-03: Finalise and communicate honorarium policy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S-01/S-02: Complete DPIA and VAPT scheduling for Phase 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owners: Update status and residual risk at next bi-weekly review</w:t>
      </w:r>
    </w:p>
    <w:p>
      <w:pPr>
        <w:spacing w:after="14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4"/>
          <w:szCs w:val="14"/>
        </w:rPr>
        <w:t xml:space="preserve">— End of Risk Register (Baseline) —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888888"/>
          <w:sz w:val="12"/>
          <w:szCs w:val="12"/>
        </w:rPr>
        <w:t xml:space="preserve">ParikshaSetu Risk Register v1.0  |  August 2026  |  Living Document  |  Confidential</w:t>
      </w:r>
    </w:p>
    <w:sectPr>
      <w:headerReference w:type="default" r:id="rId7"/>
      <w:footerReference w:type="default" r:id="rId8"/>
      <w:pgSz w:w="12240" w:h="15840" w:orient="portrait"/>
      <w:pgMar w:top="1008" w:right="720" w:bottom="1008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4"/>
      </w:pBdr>
      <w:spacing w:before="50"/>
    </w:pPr>
    <w:r>
      <w:rPr>
        <w:rFonts w:ascii="Calibri" w:cs="Calibri" w:eastAsia="Calibri" w:hAnsi="Calibri"/>
        <w:color w:val="666666"/>
        <w:sz w:val="11"/>
        <w:szCs w:val="11"/>
      </w:rPr>
      <w:t xml:space="preserve">Ministry of Education, Government of India  |  Internal Use Only</w:t>
    </w:r>
    <w:r>
      <w:rPr>
        <w:sz w:val="11"/>
        <w:szCs w:val="11"/>
      </w:rPr>
      <w:t xml:space="preserve">                                              </w:t>
    </w:r>
    <w:r>
      <w:rPr>
        <w:rFonts w:ascii="Calibri" w:cs="Calibri" w:eastAsia="Calibri" w:hAnsi="Calibri"/>
        <w:color w:val="666666"/>
        <w:sz w:val="11"/>
        <w:szCs w:val="11"/>
      </w:rPr>
      <w:t xml:space="preserve">Page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1"/>
        <w:szCs w:val="11"/>
      </w:rPr>
      <w:t xml:space="preserve"> of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4"/>
      </w:pBdr>
      <w:spacing w:after="70"/>
    </w:pPr>
    <w:r>
      <w:rPr>
        <w:rFonts w:ascii="Calibri" w:cs="Calibri" w:eastAsia="Calibri" w:hAnsi="Calibri"/>
        <w:b/>
        <w:bCs/>
        <w:color w:val="1B4F72"/>
        <w:sz w:val="12"/>
        <w:szCs w:val="12"/>
      </w:rPr>
      <w:t xml:space="preserve">ParikshaSetu  |  Risk Register (Live)</w:t>
    </w:r>
    <w:r>
      <w:rPr>
        <w:sz w:val="12"/>
        <w:szCs w:val="12"/>
      </w:rPr>
      <w:t xml:space="preserve">                                                                      </w:t>
    </w:r>
    <w:r>
      <w:rPr>
        <w:rFonts w:ascii="Calibri" w:cs="Calibri" w:eastAsia="Calibri" w:hAnsi="Calibri"/>
        <w:i/>
        <w:iCs/>
        <w:color w:val="C0392B"/>
        <w:sz w:val="12"/>
        <w:szCs w:val="12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B4F72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874A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2026-08-19T06:37:21.775Z</dcterms:created>
  <dcterms:modified xsi:type="dcterms:W3CDTF">2026-08-19T06:37:21.775Z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