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jc w:val="center"/>
      </w:pPr>
      <w:r>
        <w:rPr>
          <w:rFonts w:ascii="Calibri" w:cs="Calibri" w:eastAsia="Calibri" w:hAnsi="Calibri"/>
          <w:b/>
          <w:bCs/>
          <w:color w:val="1B4F72"/>
          <w:sz w:val="38"/>
          <w:szCs w:val="38"/>
        </w:rPr>
        <w:t xml:space="preserve">PARIKSHA MITRA</w:t>
      </w:r>
    </w:p>
    <w:p>
      <w:pPr>
        <w:spacing w:after="40"/>
        <w:jc w:val="center"/>
      </w:pPr>
      <w:r>
        <w:rPr>
          <w:rFonts w:ascii="Calibri" w:cs="Calibri" w:eastAsia="Calibri" w:hAnsi="Calibri"/>
          <w:color w:val="2874A6"/>
          <w:sz w:val="17"/>
          <w:szCs w:val="17"/>
        </w:rPr>
        <w:t xml:space="preserve">National Free Competitive Exam Coaching Platform</w:t>
      </w:r>
    </w:p>
    <w:p>
      <w:pPr>
        <w:spacing w:after="90"/>
      </w:pPr>
    </w:p>
    <w:p>
      <w:pPr>
        <w:pBdr>
          <w:bottom w:val="single" w:color="1B4F72" w:sz="14" w:space="1"/>
        </w:pBdr>
        <w:spacing w:after="90"/>
        <w:jc w:val="center"/>
      </w:pPr>
      <w:r>
        <w:rPr>
          <w:rFonts w:ascii="Calibri" w:cs="Calibri" w:eastAsia="Calibri" w:hAnsi="Calibri"/>
          <w:b/>
          <w:bCs/>
          <w:color w:val="1B4F72"/>
          <w:sz w:val="24"/>
          <w:szCs w:val="24"/>
        </w:rPr>
        <w:t xml:space="preserve">ARCHITECTURE DECISION RECORDS</w:t>
      </w:r>
    </w:p>
    <w:p>
      <w:pPr>
        <w:spacing w:after="20"/>
        <w:jc w:val="center"/>
      </w:pPr>
      <w:r>
        <w:rPr>
          <w:rFonts w:ascii="Calibri" w:cs="Calibri" w:eastAsia="Calibri" w:hAnsi="Calibri"/>
          <w:b/>
          <w:bCs/>
          <w:color w:val="1B4F72"/>
          <w:sz w:val="22"/>
          <w:szCs w:val="22"/>
        </w:rPr>
        <w:t xml:space="preserve">(ADRs)</w:t>
      </w:r>
    </w:p>
    <w:p>
      <w:pPr>
        <w:spacing w:after="30"/>
        <w:jc w:val="center"/>
      </w:pPr>
      <w:r>
        <w:rPr>
          <w:rFonts w:ascii="Calibri" w:cs="Calibri" w:eastAsia="Calibri" w:hAnsi="Calibri"/>
          <w:color w:val="555555"/>
          <w:sz w:val="14"/>
          <w:szCs w:val="14"/>
        </w:rPr>
        <w:t xml:space="preserve">Key Technical Decisions, Context, Options &amp; Consequences</w:t>
      </w:r>
    </w:p>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Version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v1.0 — Initial Set of Core ADRs</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Status</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Living Document — New ADRs added as decisions are made</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Based 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TRD + SAD + NFR + Technology Discussions</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Date</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19 August 2026</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Classification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Confidential — Government Submission</w:t>
            </w:r>
          </w:p>
        </w:tc>
      </w:tr>
    </w:tbl>
    <w:p>
      <w:pPr>
        <w:spacing w:after="160"/>
      </w:pPr>
    </w:p>
    <w:p>
      <w:pPr>
        <w:jc w:val="center"/>
      </w:pPr>
      <w:r>
        <w:rPr>
          <w:rFonts w:ascii="Calibri" w:cs="Calibri" w:eastAsia="Calibri" w:hAnsi="Calibri"/>
          <w:i/>
          <w:iCs/>
          <w:color w:val="555555"/>
          <w:sz w:val="14"/>
          <w:szCs w:val="14"/>
        </w:rPr>
        <w:t xml:space="preserve">"Record decisions so future teams understand the why, not just the what"</w:t>
      </w:r>
    </w:p>
    <w:p>
      <w:r>
        <w:br w:type="page"/>
      </w:r>
    </w:p>
    <w:p>
      <w:pPr>
        <w:pStyle w:val="Heading1"/>
        <w:spacing w:after="140" w:before="280"/>
      </w:pPr>
      <w:r>
        <w:rPr>
          <w:rFonts w:ascii="Calibri" w:cs="Calibri" w:eastAsia="Calibri" w:hAnsi="Calibri"/>
          <w:b/>
          <w:bCs/>
          <w:color w:val="1B4F72"/>
          <w:sz w:val="24"/>
          <w:szCs w:val="24"/>
        </w:rPr>
        <w:t xml:space="preserve">1. INTRODUCTION TO ADRs</w:t>
      </w:r>
    </w:p>
    <w:p>
      <w:pPr>
        <w:pStyle w:val="Heading2"/>
        <w:spacing w:after="90" w:before="200"/>
      </w:pPr>
      <w:r>
        <w:rPr>
          <w:rFonts w:ascii="Calibri" w:cs="Calibri" w:eastAsia="Calibri" w:hAnsi="Calibri"/>
          <w:b/>
          <w:bCs/>
          <w:color w:val="2874A6"/>
          <w:sz w:val="18"/>
          <w:szCs w:val="18"/>
        </w:rPr>
        <w:t xml:space="preserve">1.1 Purpose</w:t>
      </w:r>
    </w:p>
    <w:p>
      <w:pPr>
        <w:spacing w:after="80"/>
      </w:pPr>
      <w:r>
        <w:rPr>
          <w:rFonts w:ascii="Calibri" w:cs="Calibri" w:eastAsia="Calibri" w:hAnsi="Calibri"/>
          <w:sz w:val="16"/>
          <w:szCs w:val="16"/>
        </w:rPr>
        <w:t xml:space="preserve">Architecture Decision Records (ADRs) capture important architectural decisions along with their context and consequences. They prevent loss of institutional knowledge, help new team members understand why the system is shaped the way it is, and provide a clear audit trail for Ministry and technical reviews.</w:t>
      </w:r>
    </w:p>
    <w:p>
      <w:pPr>
        <w:pStyle w:val="Heading2"/>
        <w:spacing w:after="90" w:before="200"/>
      </w:pPr>
      <w:r>
        <w:rPr>
          <w:rFonts w:ascii="Calibri" w:cs="Calibri" w:eastAsia="Calibri" w:hAnsi="Calibri"/>
          <w:b/>
          <w:bCs/>
          <w:color w:val="2874A6"/>
          <w:sz w:val="18"/>
          <w:szCs w:val="18"/>
        </w:rPr>
        <w:t xml:space="preserve">1.2 ADR Format Used</w:t>
      </w:r>
    </w:p>
    <w:p>
      <w:pPr>
        <w:pStyle w:val="ListParagraph"/>
        <w:numPr>
          <w:ilvl w:val="0"/>
          <w:numId w:val="2"/>
        </w:numPr>
        <w:spacing w:after="40"/>
      </w:pPr>
      <w:r>
        <w:rPr>
          <w:rFonts w:ascii="Calibri" w:cs="Calibri" w:eastAsia="Calibri" w:hAnsi="Calibri"/>
          <w:sz w:val="15"/>
          <w:szCs w:val="15"/>
        </w:rPr>
        <w:t xml:space="preserve">Title &amp; ID</w:t>
      </w:r>
    </w:p>
    <w:p>
      <w:pPr>
        <w:pStyle w:val="ListParagraph"/>
        <w:numPr>
          <w:ilvl w:val="0"/>
          <w:numId w:val="2"/>
        </w:numPr>
        <w:spacing w:after="40"/>
      </w:pPr>
      <w:r>
        <w:rPr>
          <w:rFonts w:ascii="Calibri" w:cs="Calibri" w:eastAsia="Calibri" w:hAnsi="Calibri"/>
          <w:sz w:val="15"/>
          <w:szCs w:val="15"/>
        </w:rPr>
        <w:t xml:space="preserve">Status (Proposed / Accepted / Deprecated / Superseded)</w:t>
      </w:r>
    </w:p>
    <w:p>
      <w:pPr>
        <w:pStyle w:val="ListParagraph"/>
        <w:numPr>
          <w:ilvl w:val="0"/>
          <w:numId w:val="2"/>
        </w:numPr>
        <w:spacing w:after="40"/>
      </w:pPr>
      <w:r>
        <w:rPr>
          <w:rFonts w:ascii="Calibri" w:cs="Calibri" w:eastAsia="Calibri" w:hAnsi="Calibri"/>
          <w:sz w:val="15"/>
          <w:szCs w:val="15"/>
        </w:rPr>
        <w:t xml:space="preserve">Context</w:t>
      </w:r>
    </w:p>
    <w:p>
      <w:pPr>
        <w:pStyle w:val="ListParagraph"/>
        <w:numPr>
          <w:ilvl w:val="0"/>
          <w:numId w:val="2"/>
        </w:numPr>
        <w:spacing w:after="40"/>
      </w:pPr>
      <w:r>
        <w:rPr>
          <w:rFonts w:ascii="Calibri" w:cs="Calibri" w:eastAsia="Calibri" w:hAnsi="Calibri"/>
          <w:sz w:val="15"/>
          <w:szCs w:val="15"/>
        </w:rPr>
        <w:t xml:space="preserve">Decision</w:t>
      </w:r>
    </w:p>
    <w:p>
      <w:pPr>
        <w:pStyle w:val="ListParagraph"/>
        <w:numPr>
          <w:ilvl w:val="0"/>
          <w:numId w:val="2"/>
        </w:numPr>
        <w:spacing w:after="40"/>
      </w:pPr>
      <w:r>
        <w:rPr>
          <w:rFonts w:ascii="Calibri" w:cs="Calibri" w:eastAsia="Calibri" w:hAnsi="Calibri"/>
          <w:sz w:val="15"/>
          <w:szCs w:val="15"/>
        </w:rPr>
        <w:t xml:space="preserve">Options Considered</w:t>
      </w:r>
    </w:p>
    <w:p>
      <w:pPr>
        <w:pStyle w:val="ListParagraph"/>
        <w:numPr>
          <w:ilvl w:val="0"/>
          <w:numId w:val="2"/>
        </w:numPr>
        <w:spacing w:after="40"/>
      </w:pPr>
      <w:r>
        <w:rPr>
          <w:rFonts w:ascii="Calibri" w:cs="Calibri" w:eastAsia="Calibri" w:hAnsi="Calibri"/>
          <w:sz w:val="15"/>
          <w:szCs w:val="15"/>
        </w:rPr>
        <w:t xml:space="preserve">Consequences (Positive / Negative / Neutral)</w:t>
      </w:r>
    </w:p>
    <w:p>
      <w:pPr>
        <w:pStyle w:val="ListParagraph"/>
        <w:numPr>
          <w:ilvl w:val="0"/>
          <w:numId w:val="2"/>
        </w:numPr>
        <w:spacing w:after="40"/>
      </w:pPr>
      <w:r>
        <w:rPr>
          <w:rFonts w:ascii="Calibri" w:cs="Calibri" w:eastAsia="Calibri" w:hAnsi="Calibri"/>
          <w:sz w:val="15"/>
          <w:szCs w:val="15"/>
        </w:rPr>
        <w:t xml:space="preserve">Related Decisions / Documents</w:t>
      </w:r>
    </w:p>
    <w:p>
      <w:pPr>
        <w:pStyle w:val="Heading2"/>
        <w:spacing w:after="90" w:before="200"/>
      </w:pPr>
      <w:r>
        <w:rPr>
          <w:rFonts w:ascii="Calibri" w:cs="Calibri" w:eastAsia="Calibri" w:hAnsi="Calibri"/>
          <w:b/>
          <w:bCs/>
          <w:color w:val="2874A6"/>
          <w:sz w:val="18"/>
          <w:szCs w:val="18"/>
        </w:rPr>
        <w:t xml:space="preserve">1.3 Governance</w:t>
      </w:r>
    </w:p>
    <w:p>
      <w:pPr>
        <w:pStyle w:val="ListParagraph"/>
        <w:numPr>
          <w:ilvl w:val="0"/>
          <w:numId w:val="2"/>
        </w:numPr>
        <w:spacing w:after="40"/>
      </w:pPr>
      <w:r>
        <w:rPr>
          <w:rFonts w:ascii="Calibri" w:cs="Calibri" w:eastAsia="Calibri" w:hAnsi="Calibri"/>
          <w:sz w:val="15"/>
          <w:szCs w:val="15"/>
        </w:rPr>
        <w:t xml:space="preserve">Significant architectural decisions should have an ADR before implementation</w:t>
      </w:r>
    </w:p>
    <w:p>
      <w:pPr>
        <w:pStyle w:val="ListParagraph"/>
        <w:numPr>
          <w:ilvl w:val="0"/>
          <w:numId w:val="2"/>
        </w:numPr>
        <w:spacing w:after="40"/>
      </w:pPr>
      <w:r>
        <w:rPr>
          <w:rFonts w:ascii="Calibri" w:cs="Calibri" w:eastAsia="Calibri" w:hAnsi="Calibri"/>
          <w:sz w:val="15"/>
          <w:szCs w:val="15"/>
        </w:rPr>
        <w:t xml:space="preserve">ADRs are reviewed by Architecture / Tech Lead and relevant stakeholders</w:t>
      </w:r>
    </w:p>
    <w:p>
      <w:pPr>
        <w:pStyle w:val="ListParagraph"/>
        <w:numPr>
          <w:ilvl w:val="0"/>
          <w:numId w:val="2"/>
        </w:numPr>
        <w:spacing w:after="40"/>
      </w:pPr>
      <w:r>
        <w:rPr>
          <w:rFonts w:ascii="Calibri" w:cs="Calibri" w:eastAsia="Calibri" w:hAnsi="Calibri"/>
          <w:sz w:val="15"/>
          <w:szCs w:val="15"/>
        </w:rPr>
        <w:t xml:space="preserve">Accepted ADRs are stored in version control alongside code</w:t>
      </w:r>
    </w:p>
    <w:p>
      <w:pPr>
        <w:pStyle w:val="ListParagraph"/>
        <w:numPr>
          <w:ilvl w:val="0"/>
          <w:numId w:val="2"/>
        </w:numPr>
        <w:spacing w:after="40"/>
      </w:pPr>
      <w:r>
        <w:rPr>
          <w:rFonts w:ascii="Calibri" w:cs="Calibri" w:eastAsia="Calibri" w:hAnsi="Calibri"/>
          <w:sz w:val="15"/>
          <w:szCs w:val="15"/>
        </w:rPr>
        <w:t xml:space="preserve">This document is the consolidated baseline of core Phase-1 decisions</w:t>
      </w:r>
    </w:p>
    <w:p>
      <w:pPr>
        <w:pStyle w:val="Heading1"/>
        <w:spacing w:after="140" w:before="280"/>
      </w:pPr>
      <w:r>
        <w:rPr>
          <w:rFonts w:ascii="Calibri" w:cs="Calibri" w:eastAsia="Calibri" w:hAnsi="Calibri"/>
          <w:b/>
          <w:bCs/>
          <w:color w:val="1B4F72"/>
          <w:sz w:val="24"/>
          <w:szCs w:val="24"/>
        </w:rPr>
        <w:t xml:space="preserve">2. ADR-001: Backend Primary Language &amp; Framework</w:t>
      </w:r>
    </w:p>
    <w:p>
      <w:pPr>
        <w:pStyle w:val="Heading2"/>
        <w:spacing w:after="90" w:before="200"/>
      </w:pPr>
      <w:r>
        <w:rPr>
          <w:rFonts w:ascii="Calibri" w:cs="Calibri" w:eastAsia="Calibri" w:hAnsi="Calibri"/>
          <w:b/>
          <w:bCs/>
          <w:color w:val="2874A6"/>
          <w:sz w:val="18"/>
          <w:szCs w:val="18"/>
        </w:rPr>
        <w:t xml:space="preserve">Status</w:t>
      </w:r>
    </w:p>
    <w:p>
      <w:pPr>
        <w:spacing w:after="80"/>
      </w:pPr>
      <w:r>
        <w:rPr>
          <w:rFonts w:ascii="Calibri" w:cs="Calibri" w:eastAsia="Calibri" w:hAnsi="Calibri"/>
          <w:sz w:val="16"/>
          <w:szCs w:val="16"/>
        </w:rPr>
        <w:t xml:space="preserve">Accepted — August 2026</w:t>
      </w:r>
    </w:p>
    <w:p>
      <w:pPr>
        <w:pStyle w:val="Heading2"/>
        <w:spacing w:after="90" w:before="200"/>
      </w:pPr>
      <w:r>
        <w:rPr>
          <w:rFonts w:ascii="Calibri" w:cs="Calibri" w:eastAsia="Calibri" w:hAnsi="Calibri"/>
          <w:b/>
          <w:bCs/>
          <w:color w:val="2874A6"/>
          <w:sz w:val="18"/>
          <w:szCs w:val="18"/>
        </w:rPr>
        <w:t xml:space="preserve">Context</w:t>
      </w:r>
    </w:p>
    <w:p>
      <w:pPr>
        <w:spacing w:after="80"/>
      </w:pPr>
      <w:r>
        <w:rPr>
          <w:rFonts w:ascii="Calibri" w:cs="Calibri" w:eastAsia="Calibri" w:hAnsi="Calibri"/>
          <w:sz w:val="16"/>
          <w:szCs w:val="16"/>
        </w:rPr>
        <w:t xml:space="preserve">The platform requires a high-concurrency, I/O-heavy backend capable of serving millions of students, integrating with multiple government systems, and supporting rapid iteration by a mixed-skill engineering team. A clear primary stack was needed for API services.</w:t>
      </w:r>
    </w:p>
    <w:p>
      <w:pPr>
        <w:pStyle w:val="Heading2"/>
        <w:spacing w:after="90" w:before="200"/>
      </w:pPr>
      <w:r>
        <w:rPr>
          <w:rFonts w:ascii="Calibri" w:cs="Calibri" w:eastAsia="Calibri" w:hAnsi="Calibri"/>
          <w:b/>
          <w:bCs/>
          <w:color w:val="2874A6"/>
          <w:sz w:val="18"/>
          <w:szCs w:val="18"/>
        </w:rPr>
        <w:t xml:space="preserve">Decision</w:t>
      </w:r>
    </w:p>
    <w:p>
      <w:pPr>
        <w:spacing w:after="80"/>
      </w:pPr>
      <w:r>
        <w:rPr>
          <w:rFonts w:ascii="Calibri" w:cs="Calibri" w:eastAsia="Calibri" w:hAnsi="Calibri"/>
          <w:sz w:val="16"/>
          <w:szCs w:val="16"/>
        </w:rPr>
        <w:t xml:space="preserve">Adopt Node.js with NestJS (TypeScript) as the primary backend framework for business APIs and orchestration services. Use Python (FastAPI) specifically for AI/ML inference and data-science workloads.</w:t>
      </w:r>
    </w:p>
    <w:p>
      <w:pPr>
        <w:pStyle w:val="Heading2"/>
        <w:spacing w:after="90" w:before="200"/>
      </w:pPr>
      <w:r>
        <w:rPr>
          <w:rFonts w:ascii="Calibri" w:cs="Calibri" w:eastAsia="Calibri" w:hAnsi="Calibri"/>
          <w:b/>
          <w:bCs/>
          <w:color w:val="2874A6"/>
          <w:sz w:val="18"/>
          <w:szCs w:val="18"/>
        </w:rPr>
        <w:t xml:space="preserve">Options Considered</w:t>
      </w:r>
    </w:p>
    <w:p>
      <w:pPr>
        <w:pStyle w:val="ListParagraph"/>
        <w:numPr>
          <w:ilvl w:val="0"/>
          <w:numId w:val="2"/>
        </w:numPr>
        <w:spacing w:after="40"/>
      </w:pPr>
      <w:r>
        <w:rPr>
          <w:rFonts w:ascii="Calibri" w:cs="Calibri" w:eastAsia="Calibri" w:hAnsi="Calibri"/>
          <w:sz w:val="15"/>
          <w:szCs w:val="15"/>
        </w:rPr>
        <w:t xml:space="preserve">Option A: Node.js + NestJS/TypeScript (Selected)</w:t>
      </w:r>
    </w:p>
    <w:p>
      <w:pPr>
        <w:pStyle w:val="ListParagraph"/>
        <w:numPr>
          <w:ilvl w:val="0"/>
          <w:numId w:val="2"/>
        </w:numPr>
        <w:spacing w:after="40"/>
      </w:pPr>
      <w:r>
        <w:rPr>
          <w:rFonts w:ascii="Calibri" w:cs="Calibri" w:eastAsia="Calibri" w:hAnsi="Calibri"/>
          <w:sz w:val="15"/>
          <w:szCs w:val="15"/>
        </w:rPr>
        <w:t xml:space="preserve">Option B: C# / .NET on Linux</w:t>
      </w:r>
    </w:p>
    <w:p>
      <w:pPr>
        <w:pStyle w:val="ListParagraph"/>
        <w:numPr>
          <w:ilvl w:val="0"/>
          <w:numId w:val="2"/>
        </w:numPr>
        <w:spacing w:after="40"/>
      </w:pPr>
      <w:r>
        <w:rPr>
          <w:rFonts w:ascii="Calibri" w:cs="Calibri" w:eastAsia="Calibri" w:hAnsi="Calibri"/>
          <w:sz w:val="15"/>
          <w:szCs w:val="15"/>
        </w:rPr>
        <w:t xml:space="preserve">Option C: Java / Spring Boot</w:t>
      </w:r>
    </w:p>
    <w:p>
      <w:pPr>
        <w:pStyle w:val="ListParagraph"/>
        <w:numPr>
          <w:ilvl w:val="0"/>
          <w:numId w:val="2"/>
        </w:numPr>
        <w:spacing w:after="40"/>
      </w:pPr>
      <w:r>
        <w:rPr>
          <w:rFonts w:ascii="Calibri" w:cs="Calibri" w:eastAsia="Calibri" w:hAnsi="Calibri"/>
          <w:sz w:val="15"/>
          <w:szCs w:val="15"/>
        </w:rPr>
        <w:t xml:space="preserve">Option D: Go for all services</w:t>
      </w:r>
    </w:p>
    <w:p>
      <w:pPr>
        <w:pStyle w:val="ListParagraph"/>
        <w:numPr>
          <w:ilvl w:val="0"/>
          <w:numId w:val="2"/>
        </w:numPr>
        <w:spacing w:after="40"/>
      </w:pPr>
      <w:r>
        <w:rPr>
          <w:rFonts w:ascii="Calibri" w:cs="Calibri" w:eastAsia="Calibri" w:hAnsi="Calibri"/>
          <w:sz w:val="15"/>
          <w:szCs w:val="15"/>
        </w:rPr>
        <w:t xml:space="preserve">Option E: Pure Python for everything</w:t>
      </w:r>
    </w:p>
    <w:p>
      <w:pPr>
        <w:pStyle w:val="Heading2"/>
        <w:spacing w:after="90" w:before="200"/>
      </w:pPr>
      <w:r>
        <w:rPr>
          <w:rFonts w:ascii="Calibri" w:cs="Calibri" w:eastAsia="Calibri" w:hAnsi="Calibri"/>
          <w:b/>
          <w:bCs/>
          <w:color w:val="2874A6"/>
          <w:sz w:val="18"/>
          <w:szCs w:val="18"/>
        </w:rPr>
        <w:t xml:space="preserve">Consequences</w:t>
      </w:r>
    </w:p>
    <w:p>
      <w:pPr>
        <w:spacing w:after="80"/>
      </w:pPr>
      <w:r>
        <w:rPr>
          <w:rFonts w:ascii="Calibri" w:cs="Calibri" w:eastAsia="Calibri" w:hAnsi="Calibri"/>
          <w:sz w:val="16"/>
          <w:szCs w:val="16"/>
        </w:rPr>
        <w:t xml:space="preserve">Positive:</w:t>
      </w:r>
    </w:p>
    <w:p>
      <w:pPr>
        <w:pStyle w:val="ListParagraph"/>
        <w:numPr>
          <w:ilvl w:val="0"/>
          <w:numId w:val="2"/>
        </w:numPr>
        <w:spacing w:after="40"/>
      </w:pPr>
      <w:r>
        <w:rPr>
          <w:rFonts w:ascii="Calibri" w:cs="Calibri" w:eastAsia="Calibri" w:hAnsi="Calibri"/>
          <w:sz w:val="15"/>
          <w:szCs w:val="15"/>
        </w:rPr>
        <w:t xml:space="preserve">Excellent fit for high-concurrency I/O workloads (APIs, real-time, integrations)</w:t>
      </w:r>
    </w:p>
    <w:p>
      <w:pPr>
        <w:pStyle w:val="ListParagraph"/>
        <w:numPr>
          <w:ilvl w:val="0"/>
          <w:numId w:val="2"/>
        </w:numPr>
        <w:spacing w:after="40"/>
      </w:pPr>
      <w:r>
        <w:rPr>
          <w:rFonts w:ascii="Calibri" w:cs="Calibri" w:eastAsia="Calibri" w:hAnsi="Calibri"/>
          <w:sz w:val="15"/>
          <w:szCs w:val="15"/>
        </w:rPr>
        <w:t xml:space="preserve">Large talent pool in India; fast hiring and onboarding</w:t>
      </w:r>
    </w:p>
    <w:p>
      <w:pPr>
        <w:pStyle w:val="ListParagraph"/>
        <w:numPr>
          <w:ilvl w:val="0"/>
          <w:numId w:val="2"/>
        </w:numPr>
        <w:spacing w:after="40"/>
      </w:pPr>
      <w:r>
        <w:rPr>
          <w:rFonts w:ascii="Calibri" w:cs="Calibri" w:eastAsia="Calibri" w:hAnsi="Calibri"/>
          <w:sz w:val="15"/>
          <w:szCs w:val="15"/>
        </w:rPr>
        <w:t xml:space="preserve">Strong TypeScript ecosystem and NestJS structure for maintainability</w:t>
      </w:r>
    </w:p>
    <w:p>
      <w:pPr>
        <w:pStyle w:val="ListParagraph"/>
        <w:numPr>
          <w:ilvl w:val="0"/>
          <w:numId w:val="2"/>
        </w:numPr>
        <w:spacing w:after="40"/>
      </w:pPr>
      <w:r>
        <w:rPr>
          <w:rFonts w:ascii="Calibri" w:cs="Calibri" w:eastAsia="Calibri" w:hAnsi="Calibri"/>
          <w:sz w:val="15"/>
          <w:szCs w:val="15"/>
        </w:rPr>
        <w:t xml:space="preserve">Python remains first-class for AI (shared language with data science community)</w:t>
      </w:r>
    </w:p>
    <w:p>
      <w:pPr>
        <w:spacing w:after="80"/>
      </w:pPr>
      <w:r>
        <w:rPr>
          <w:rFonts w:ascii="Calibri" w:cs="Calibri" w:eastAsia="Calibri" w:hAnsi="Calibri"/>
          <w:sz w:val="16"/>
          <w:szCs w:val="16"/>
        </w:rPr>
        <w:t xml:space="preserve">Negative / Trade-offs:</w:t>
      </w:r>
    </w:p>
    <w:p>
      <w:pPr>
        <w:pStyle w:val="ListParagraph"/>
        <w:numPr>
          <w:ilvl w:val="0"/>
          <w:numId w:val="2"/>
        </w:numPr>
        <w:spacing w:after="40"/>
      </w:pPr>
      <w:r>
        <w:rPr>
          <w:rFonts w:ascii="Calibri" w:cs="Calibri" w:eastAsia="Calibri" w:hAnsi="Calibri"/>
          <w:sz w:val="15"/>
          <w:szCs w:val="15"/>
        </w:rPr>
        <w:t xml:space="preserve">CPU-bound work must be carefully offloaded (to workers or Python services)</w:t>
      </w:r>
    </w:p>
    <w:p>
      <w:pPr>
        <w:pStyle w:val="ListParagraph"/>
        <w:numPr>
          <w:ilvl w:val="0"/>
          <w:numId w:val="2"/>
        </w:numPr>
        <w:spacing w:after="40"/>
      </w:pPr>
      <w:r>
        <w:rPr>
          <w:rFonts w:ascii="Calibri" w:cs="Calibri" w:eastAsia="Calibri" w:hAnsi="Calibri"/>
          <w:sz w:val="15"/>
          <w:szCs w:val="15"/>
        </w:rPr>
        <w:t xml:space="preserve">Team must maintain discipline around TypeScript strictness and NestJS patterns</w:t>
      </w:r>
    </w:p>
    <w:p>
      <w:pPr>
        <w:spacing w:after="80"/>
      </w:pPr>
      <w:r>
        <w:rPr>
          <w:rFonts w:ascii="Calibri" w:cs="Calibri" w:eastAsia="Calibri" w:hAnsi="Calibri"/>
          <w:sz w:val="16"/>
          <w:szCs w:val="16"/>
        </w:rPr>
        <w:t xml:space="preserve">Neutral:</w:t>
      </w:r>
    </w:p>
    <w:p>
      <w:pPr>
        <w:pStyle w:val="ListParagraph"/>
        <w:numPr>
          <w:ilvl w:val="0"/>
          <w:numId w:val="2"/>
        </w:numPr>
        <w:spacing w:after="40"/>
      </w:pPr>
      <w:r>
        <w:rPr>
          <w:rFonts w:ascii="Calibri" w:cs="Calibri" w:eastAsia="Calibri" w:hAnsi="Calibri"/>
          <w:sz w:val="15"/>
          <w:szCs w:val="15"/>
        </w:rPr>
        <w:t xml:space="preserve">C# was viable but offered less advantage for this I/O-heavy, polyglot-AI profile and government cloud constraints</w:t>
      </w:r>
    </w:p>
    <w:p>
      <w:pPr>
        <w:pStyle w:val="Heading1"/>
        <w:spacing w:after="140" w:before="280"/>
      </w:pPr>
      <w:r>
        <w:rPr>
          <w:rFonts w:ascii="Calibri" w:cs="Calibri" w:eastAsia="Calibri" w:hAnsi="Calibri"/>
          <w:b/>
          <w:bCs/>
          <w:color w:val="1B4F72"/>
          <w:sz w:val="24"/>
          <w:szCs w:val="24"/>
        </w:rPr>
        <w:t xml:space="preserve">3. ADR-002: Mobile Client Technology</w:t>
      </w:r>
    </w:p>
    <w:p>
      <w:pPr>
        <w:pStyle w:val="Heading2"/>
        <w:spacing w:after="90" w:before="200"/>
      </w:pPr>
      <w:r>
        <w:rPr>
          <w:rFonts w:ascii="Calibri" w:cs="Calibri" w:eastAsia="Calibri" w:hAnsi="Calibri"/>
          <w:b/>
          <w:bCs/>
          <w:color w:val="2874A6"/>
          <w:sz w:val="18"/>
          <w:szCs w:val="18"/>
        </w:rPr>
        <w:t xml:space="preserve">Status</w:t>
      </w:r>
    </w:p>
    <w:p>
      <w:pPr>
        <w:spacing w:after="80"/>
      </w:pPr>
      <w:r>
        <w:rPr>
          <w:rFonts w:ascii="Calibri" w:cs="Calibri" w:eastAsia="Calibri" w:hAnsi="Calibri"/>
          <w:sz w:val="16"/>
          <w:szCs w:val="16"/>
        </w:rPr>
        <w:t xml:space="preserve">Accepted — August 2026</w:t>
      </w:r>
    </w:p>
    <w:p>
      <w:pPr>
        <w:pStyle w:val="Heading2"/>
        <w:spacing w:after="90" w:before="200"/>
      </w:pPr>
      <w:r>
        <w:rPr>
          <w:rFonts w:ascii="Calibri" w:cs="Calibri" w:eastAsia="Calibri" w:hAnsi="Calibri"/>
          <w:b/>
          <w:bCs/>
          <w:color w:val="2874A6"/>
          <w:sz w:val="18"/>
          <w:szCs w:val="18"/>
        </w:rPr>
        <w:t xml:space="preserve">Context</w:t>
      </w:r>
    </w:p>
    <w:p>
      <w:pPr>
        <w:spacing w:after="80"/>
      </w:pPr>
      <w:r>
        <w:rPr>
          <w:rFonts w:ascii="Calibri" w:cs="Calibri" w:eastAsia="Calibri" w:hAnsi="Calibri"/>
          <w:sz w:val="16"/>
          <w:szCs w:val="16"/>
        </w:rPr>
        <w:t xml:space="preserve">Pariksha Mitra must deliver a high-quality native experience on Android (primary) and iOS, with excellent offline support and performance on low-end devices, while keeping a single engineering team productive.</w:t>
      </w:r>
    </w:p>
    <w:p>
      <w:pPr>
        <w:pStyle w:val="Heading2"/>
        <w:spacing w:after="90" w:before="200"/>
      </w:pPr>
      <w:r>
        <w:rPr>
          <w:rFonts w:ascii="Calibri" w:cs="Calibri" w:eastAsia="Calibri" w:hAnsi="Calibri"/>
          <w:b/>
          <w:bCs/>
          <w:color w:val="2874A6"/>
          <w:sz w:val="18"/>
          <w:szCs w:val="18"/>
        </w:rPr>
        <w:t xml:space="preserve">Decision</w:t>
      </w:r>
    </w:p>
    <w:p>
      <w:pPr>
        <w:spacing w:after="80"/>
      </w:pPr>
      <w:r>
        <w:rPr>
          <w:rFonts w:ascii="Calibri" w:cs="Calibri" w:eastAsia="Calibri" w:hAnsi="Calibri"/>
          <w:sz w:val="16"/>
          <w:szCs w:val="16"/>
        </w:rPr>
        <w:t xml:space="preserve">Use Flutter for both Android and iOS mobile applications.</w:t>
      </w:r>
    </w:p>
    <w:p>
      <w:pPr>
        <w:pStyle w:val="Heading2"/>
        <w:spacing w:after="90" w:before="200"/>
      </w:pPr>
      <w:r>
        <w:rPr>
          <w:rFonts w:ascii="Calibri" w:cs="Calibri" w:eastAsia="Calibri" w:hAnsi="Calibri"/>
          <w:b/>
          <w:bCs/>
          <w:color w:val="2874A6"/>
          <w:sz w:val="18"/>
          <w:szCs w:val="18"/>
        </w:rPr>
        <w:t xml:space="preserve">Options Considered</w:t>
      </w:r>
    </w:p>
    <w:p>
      <w:pPr>
        <w:pStyle w:val="ListParagraph"/>
        <w:numPr>
          <w:ilvl w:val="0"/>
          <w:numId w:val="2"/>
        </w:numPr>
        <w:spacing w:after="40"/>
      </w:pPr>
      <w:r>
        <w:rPr>
          <w:rFonts w:ascii="Calibri" w:cs="Calibri" w:eastAsia="Calibri" w:hAnsi="Calibri"/>
          <w:sz w:val="15"/>
          <w:szCs w:val="15"/>
        </w:rPr>
        <w:t xml:space="preserve">Option A: Flutter (Selected)</w:t>
      </w:r>
    </w:p>
    <w:p>
      <w:pPr>
        <w:pStyle w:val="ListParagraph"/>
        <w:numPr>
          <w:ilvl w:val="0"/>
          <w:numId w:val="2"/>
        </w:numPr>
        <w:spacing w:after="40"/>
      </w:pPr>
      <w:r>
        <w:rPr>
          <w:rFonts w:ascii="Calibri" w:cs="Calibri" w:eastAsia="Calibri" w:hAnsi="Calibri"/>
          <w:sz w:val="15"/>
          <w:szCs w:val="15"/>
        </w:rPr>
        <w:t xml:space="preserve">Option B: React Native</w:t>
      </w:r>
    </w:p>
    <w:p>
      <w:pPr>
        <w:pStyle w:val="ListParagraph"/>
        <w:numPr>
          <w:ilvl w:val="0"/>
          <w:numId w:val="2"/>
        </w:numPr>
        <w:spacing w:after="40"/>
      </w:pPr>
      <w:r>
        <w:rPr>
          <w:rFonts w:ascii="Calibri" w:cs="Calibri" w:eastAsia="Calibri" w:hAnsi="Calibri"/>
          <w:sz w:val="15"/>
          <w:szCs w:val="15"/>
        </w:rPr>
        <w:t xml:space="preserve">Option C: Native Kotlin + Swift</w:t>
      </w:r>
    </w:p>
    <w:p>
      <w:pPr>
        <w:pStyle w:val="ListParagraph"/>
        <w:numPr>
          <w:ilvl w:val="0"/>
          <w:numId w:val="2"/>
        </w:numPr>
        <w:spacing w:after="40"/>
      </w:pPr>
      <w:r>
        <w:rPr>
          <w:rFonts w:ascii="Calibri" w:cs="Calibri" w:eastAsia="Calibri" w:hAnsi="Calibri"/>
          <w:sz w:val="15"/>
          <w:szCs w:val="15"/>
        </w:rPr>
        <w:t xml:space="preserve">Option D: Progressive Web App only</w:t>
      </w:r>
    </w:p>
    <w:p>
      <w:pPr>
        <w:pStyle w:val="Heading2"/>
        <w:spacing w:after="90" w:before="200"/>
      </w:pPr>
      <w:r>
        <w:rPr>
          <w:rFonts w:ascii="Calibri" w:cs="Calibri" w:eastAsia="Calibri" w:hAnsi="Calibri"/>
          <w:b/>
          <w:bCs/>
          <w:color w:val="2874A6"/>
          <w:sz w:val="18"/>
          <w:szCs w:val="18"/>
        </w:rPr>
        <w:t xml:space="preserve">Consequences</w:t>
      </w:r>
    </w:p>
    <w:p>
      <w:pPr>
        <w:spacing w:after="80"/>
      </w:pPr>
      <w:r>
        <w:rPr>
          <w:rFonts w:ascii="Calibri" w:cs="Calibri" w:eastAsia="Calibri" w:hAnsi="Calibri"/>
          <w:sz w:val="16"/>
          <w:szCs w:val="16"/>
        </w:rPr>
        <w:t xml:space="preserve">Positive: Single codebase, strong performance, excellent offline and low-end device support, good developer experience.</w:t>
      </w:r>
    </w:p>
    <w:p>
      <w:pPr>
        <w:spacing w:after="80"/>
      </w:pPr>
      <w:r>
        <w:rPr>
          <w:rFonts w:ascii="Calibri" w:cs="Calibri" w:eastAsia="Calibri" w:hAnsi="Calibri"/>
          <w:sz w:val="16"/>
          <w:szCs w:val="16"/>
        </w:rPr>
        <w:t xml:space="preserve">Negative: Some platform-specific features may require plugins or native modules; team needs Flutter expertise.</w:t>
      </w:r>
    </w:p>
    <w:p>
      <w:pPr>
        <w:spacing w:after="80"/>
      </w:pPr>
      <w:r>
        <w:rPr>
          <w:rFonts w:ascii="Calibri" w:cs="Calibri" w:eastAsia="Calibri" w:hAnsi="Calibri"/>
          <w:sz w:val="16"/>
          <w:szCs w:val="16"/>
        </w:rPr>
        <w:t xml:space="preserve">Neutral: React Native was close; Flutter was preferred for performance and UI consistency on low-end Android.</w:t>
      </w:r>
    </w:p>
    <w:p>
      <w:pPr>
        <w:pStyle w:val="Heading1"/>
        <w:spacing w:after="140" w:before="280"/>
      </w:pPr>
      <w:r>
        <w:rPr>
          <w:rFonts w:ascii="Calibri" w:cs="Calibri" w:eastAsia="Calibri" w:hAnsi="Calibri"/>
          <w:b/>
          <w:bCs/>
          <w:color w:val="1B4F72"/>
          <w:sz w:val="24"/>
          <w:szCs w:val="24"/>
        </w:rPr>
        <w:t xml:space="preserve">4. ADR-003: Primary Database</w:t>
      </w:r>
    </w:p>
    <w:p>
      <w:pPr>
        <w:pStyle w:val="Heading2"/>
        <w:spacing w:after="90" w:before="200"/>
      </w:pPr>
      <w:r>
        <w:rPr>
          <w:rFonts w:ascii="Calibri" w:cs="Calibri" w:eastAsia="Calibri" w:hAnsi="Calibri"/>
          <w:b/>
          <w:bCs/>
          <w:color w:val="2874A6"/>
          <w:sz w:val="18"/>
          <w:szCs w:val="18"/>
        </w:rPr>
        <w:t xml:space="preserve">Status</w:t>
      </w:r>
    </w:p>
    <w:p>
      <w:pPr>
        <w:spacing w:after="80"/>
      </w:pPr>
      <w:r>
        <w:rPr>
          <w:rFonts w:ascii="Calibri" w:cs="Calibri" w:eastAsia="Calibri" w:hAnsi="Calibri"/>
          <w:sz w:val="16"/>
          <w:szCs w:val="16"/>
        </w:rPr>
        <w:t xml:space="preserve">Accepted — August 2026</w:t>
      </w:r>
    </w:p>
    <w:p>
      <w:pPr>
        <w:pStyle w:val="Heading2"/>
        <w:spacing w:after="90" w:before="200"/>
      </w:pPr>
      <w:r>
        <w:rPr>
          <w:rFonts w:ascii="Calibri" w:cs="Calibri" w:eastAsia="Calibri" w:hAnsi="Calibri"/>
          <w:b/>
          <w:bCs/>
          <w:color w:val="2874A6"/>
          <w:sz w:val="18"/>
          <w:szCs w:val="18"/>
        </w:rPr>
        <w:t xml:space="preserve">Context</w:t>
      </w:r>
    </w:p>
    <w:p>
      <w:pPr>
        <w:spacing w:after="80"/>
      </w:pPr>
      <w:r>
        <w:rPr>
          <w:rFonts w:ascii="Calibri" w:cs="Calibri" w:eastAsia="Calibri" w:hAnsi="Calibri"/>
          <w:sz w:val="16"/>
          <w:szCs w:val="16"/>
        </w:rPr>
        <w:t xml:space="preserve">Need a reliable, transactional store for users, content metadata, attempts, bookings, and operational data, with strong consistency, mature tooling, and India-friendly licensing/support on NIC.</w:t>
      </w:r>
    </w:p>
    <w:p>
      <w:pPr>
        <w:pStyle w:val="Heading2"/>
        <w:spacing w:after="90" w:before="200"/>
      </w:pPr>
      <w:r>
        <w:rPr>
          <w:rFonts w:ascii="Calibri" w:cs="Calibri" w:eastAsia="Calibri" w:hAnsi="Calibri"/>
          <w:b/>
          <w:bCs/>
          <w:color w:val="2874A6"/>
          <w:sz w:val="18"/>
          <w:szCs w:val="18"/>
        </w:rPr>
        <w:t xml:space="preserve">Decision</w:t>
      </w:r>
    </w:p>
    <w:p>
      <w:pPr>
        <w:spacing w:after="80"/>
      </w:pPr>
      <w:r>
        <w:rPr>
          <w:rFonts w:ascii="Calibri" w:cs="Calibri" w:eastAsia="Calibri" w:hAnsi="Calibri"/>
          <w:sz w:val="16"/>
          <w:szCs w:val="16"/>
        </w:rPr>
        <w:t xml:space="preserve">Use PostgreSQL as the primary transactional database. Use Redis for caching and short-lived state. Use ClickHouse for analytical / high-volume event data. Use OpenSearch/Elasticsearch for full-text search.</w:t>
      </w:r>
    </w:p>
    <w:p>
      <w:pPr>
        <w:pStyle w:val="Heading2"/>
        <w:spacing w:after="90" w:before="200"/>
      </w:pPr>
      <w:r>
        <w:rPr>
          <w:rFonts w:ascii="Calibri" w:cs="Calibri" w:eastAsia="Calibri" w:hAnsi="Calibri"/>
          <w:b/>
          <w:bCs/>
          <w:color w:val="2874A6"/>
          <w:sz w:val="18"/>
          <w:szCs w:val="18"/>
        </w:rPr>
        <w:t xml:space="preserve">Options Considered</w:t>
      </w:r>
    </w:p>
    <w:p>
      <w:pPr>
        <w:pStyle w:val="ListParagraph"/>
        <w:numPr>
          <w:ilvl w:val="0"/>
          <w:numId w:val="2"/>
        </w:numPr>
        <w:spacing w:after="40"/>
      </w:pPr>
      <w:r>
        <w:rPr>
          <w:rFonts w:ascii="Calibri" w:cs="Calibri" w:eastAsia="Calibri" w:hAnsi="Calibri"/>
          <w:sz w:val="15"/>
          <w:szCs w:val="15"/>
        </w:rPr>
        <w:t xml:space="preserve">PostgreSQL (Selected as primary)</w:t>
      </w:r>
    </w:p>
    <w:p>
      <w:pPr>
        <w:pStyle w:val="ListParagraph"/>
        <w:numPr>
          <w:ilvl w:val="0"/>
          <w:numId w:val="2"/>
        </w:numPr>
        <w:spacing w:after="40"/>
      </w:pPr>
      <w:r>
        <w:rPr>
          <w:rFonts w:ascii="Calibri" w:cs="Calibri" w:eastAsia="Calibri" w:hAnsi="Calibri"/>
          <w:sz w:val="15"/>
          <w:szCs w:val="15"/>
        </w:rPr>
        <w:t xml:space="preserve">MySQL / MariaDB</w:t>
      </w:r>
    </w:p>
    <w:p>
      <w:pPr>
        <w:pStyle w:val="ListParagraph"/>
        <w:numPr>
          <w:ilvl w:val="0"/>
          <w:numId w:val="2"/>
        </w:numPr>
        <w:spacing w:after="40"/>
      </w:pPr>
      <w:r>
        <w:rPr>
          <w:rFonts w:ascii="Calibri" w:cs="Calibri" w:eastAsia="Calibri" w:hAnsi="Calibri"/>
          <w:sz w:val="15"/>
          <w:szCs w:val="15"/>
        </w:rPr>
        <w:t xml:space="preserve">MongoDB as primary</w:t>
      </w:r>
    </w:p>
    <w:p>
      <w:pPr>
        <w:pStyle w:val="ListParagraph"/>
        <w:numPr>
          <w:ilvl w:val="0"/>
          <w:numId w:val="2"/>
        </w:numPr>
        <w:spacing w:after="40"/>
      </w:pPr>
      <w:r>
        <w:rPr>
          <w:rFonts w:ascii="Calibri" w:cs="Calibri" w:eastAsia="Calibri" w:hAnsi="Calibri"/>
          <w:sz w:val="15"/>
          <w:szCs w:val="15"/>
        </w:rPr>
        <w:t xml:space="preserve">CockroachDB / distributed SQL</w:t>
      </w:r>
    </w:p>
    <w:p>
      <w:pPr>
        <w:pStyle w:val="Heading2"/>
        <w:spacing w:after="90" w:before="200"/>
      </w:pPr>
      <w:r>
        <w:rPr>
          <w:rFonts w:ascii="Calibri" w:cs="Calibri" w:eastAsia="Calibri" w:hAnsi="Calibri"/>
          <w:b/>
          <w:bCs/>
          <w:color w:val="2874A6"/>
          <w:sz w:val="18"/>
          <w:szCs w:val="18"/>
        </w:rPr>
        <w:t xml:space="preserve">Consequences</w:t>
      </w:r>
    </w:p>
    <w:p>
      <w:pPr>
        <w:spacing w:after="80"/>
      </w:pPr>
      <w:r>
        <w:rPr>
          <w:rFonts w:ascii="Calibri" w:cs="Calibri" w:eastAsia="Calibri" w:hAnsi="Calibri"/>
          <w:sz w:val="16"/>
          <w:szCs w:val="16"/>
        </w:rPr>
        <w:t xml:space="preserve">Positive: ACID guarantees, rich SQL, excellent ecosystem, JSON support when needed, proven at scale.</w:t>
      </w:r>
    </w:p>
    <w:p>
      <w:pPr>
        <w:spacing w:after="80"/>
      </w:pPr>
      <w:r>
        <w:rPr>
          <w:rFonts w:ascii="Calibri" w:cs="Calibri" w:eastAsia="Calibri" w:hAnsi="Calibri"/>
          <w:sz w:val="16"/>
          <w:szCs w:val="16"/>
        </w:rPr>
        <w:t xml:space="preserve">Negative: Write scaling requires careful partitioning/sharding design for the largest tables (attempts, answers).</w:t>
      </w:r>
    </w:p>
    <w:p>
      <w:pPr>
        <w:spacing w:after="80"/>
      </w:pPr>
      <w:r>
        <w:rPr>
          <w:rFonts w:ascii="Calibri" w:cs="Calibri" w:eastAsia="Calibri" w:hAnsi="Calibri"/>
          <w:sz w:val="16"/>
          <w:szCs w:val="16"/>
        </w:rPr>
        <w:t xml:space="preserve">Neutral: Polyglot persistence is accepted; each store has a clear responsibility.</w:t>
      </w:r>
    </w:p>
    <w:p>
      <w:pPr>
        <w:pStyle w:val="Heading1"/>
        <w:spacing w:after="140" w:before="280"/>
      </w:pPr>
      <w:r>
        <w:rPr>
          <w:rFonts w:ascii="Calibri" w:cs="Calibri" w:eastAsia="Calibri" w:hAnsi="Calibri"/>
          <w:b/>
          <w:bCs/>
          <w:color w:val="1B4F72"/>
          <w:sz w:val="24"/>
          <w:szCs w:val="24"/>
        </w:rPr>
        <w:t xml:space="preserve">5. ADR-004: Hosting &amp; Data Residency</w:t>
      </w:r>
    </w:p>
    <w:p>
      <w:pPr>
        <w:pStyle w:val="Heading2"/>
        <w:spacing w:after="90" w:before="200"/>
      </w:pPr>
      <w:r>
        <w:rPr>
          <w:rFonts w:ascii="Calibri" w:cs="Calibri" w:eastAsia="Calibri" w:hAnsi="Calibri"/>
          <w:b/>
          <w:bCs/>
          <w:color w:val="2874A6"/>
          <w:sz w:val="18"/>
          <w:szCs w:val="18"/>
        </w:rPr>
        <w:t xml:space="preserve">Status</w:t>
      </w:r>
    </w:p>
    <w:p>
      <w:pPr>
        <w:spacing w:after="80"/>
      </w:pPr>
      <w:r>
        <w:rPr>
          <w:rFonts w:ascii="Calibri" w:cs="Calibri" w:eastAsia="Calibri" w:hAnsi="Calibri"/>
          <w:sz w:val="16"/>
          <w:szCs w:val="16"/>
        </w:rPr>
        <w:t xml:space="preserve">Accepted — August 2026</w:t>
      </w:r>
    </w:p>
    <w:p>
      <w:pPr>
        <w:pStyle w:val="Heading2"/>
        <w:spacing w:after="90" w:before="200"/>
      </w:pPr>
      <w:r>
        <w:rPr>
          <w:rFonts w:ascii="Calibri" w:cs="Calibri" w:eastAsia="Calibri" w:hAnsi="Calibri"/>
          <w:b/>
          <w:bCs/>
          <w:color w:val="2874A6"/>
          <w:sz w:val="18"/>
          <w:szCs w:val="18"/>
        </w:rPr>
        <w:t xml:space="preserve">Context</w:t>
      </w:r>
    </w:p>
    <w:p>
      <w:pPr>
        <w:spacing w:after="80"/>
      </w:pPr>
      <w:r>
        <w:rPr>
          <w:rFonts w:ascii="Calibri" w:cs="Calibri" w:eastAsia="Calibri" w:hAnsi="Calibri"/>
          <w:sz w:val="16"/>
          <w:szCs w:val="16"/>
        </w:rPr>
        <w:t xml:space="preserve">As a Ministry of Education national platform, all personal and content data must reside in India and align with government cloud policy and DPDP expectations.</w:t>
      </w:r>
    </w:p>
    <w:p>
      <w:pPr>
        <w:pStyle w:val="Heading2"/>
        <w:spacing w:after="90" w:before="200"/>
      </w:pPr>
      <w:r>
        <w:rPr>
          <w:rFonts w:ascii="Calibri" w:cs="Calibri" w:eastAsia="Calibri" w:hAnsi="Calibri"/>
          <w:b/>
          <w:bCs/>
          <w:color w:val="2874A6"/>
          <w:sz w:val="18"/>
          <w:szCs w:val="18"/>
        </w:rPr>
        <w:t xml:space="preserve">Decision</w:t>
      </w:r>
    </w:p>
    <w:p>
      <w:pPr>
        <w:spacing w:after="80"/>
      </w:pPr>
      <w:r>
        <w:rPr>
          <w:rFonts w:ascii="Calibri" w:cs="Calibri" w:eastAsia="Calibri" w:hAnsi="Calibri"/>
          <w:sz w:val="16"/>
          <w:szCs w:val="16"/>
        </w:rPr>
        <w:t xml:space="preserve">Host the entire platform on NIC MeghRaj (or successor NIC cloud). No production personal data outside India.</w:t>
      </w:r>
    </w:p>
    <w:p>
      <w:pPr>
        <w:pStyle w:val="Heading2"/>
        <w:spacing w:after="90" w:before="200"/>
      </w:pPr>
      <w:r>
        <w:rPr>
          <w:rFonts w:ascii="Calibri" w:cs="Calibri" w:eastAsia="Calibri" w:hAnsi="Calibri"/>
          <w:b/>
          <w:bCs/>
          <w:color w:val="2874A6"/>
          <w:sz w:val="18"/>
          <w:szCs w:val="18"/>
        </w:rPr>
        <w:t xml:space="preserve">Options Considered</w:t>
      </w:r>
    </w:p>
    <w:p>
      <w:pPr>
        <w:pStyle w:val="ListParagraph"/>
        <w:numPr>
          <w:ilvl w:val="0"/>
          <w:numId w:val="2"/>
        </w:numPr>
        <w:spacing w:after="40"/>
      </w:pPr>
      <w:r>
        <w:rPr>
          <w:rFonts w:ascii="Calibri" w:cs="Calibri" w:eastAsia="Calibri" w:hAnsi="Calibri"/>
          <w:sz w:val="15"/>
          <w:szCs w:val="15"/>
        </w:rPr>
        <w:t xml:space="preserve">NIC MeghRaj (Selected)</w:t>
      </w:r>
    </w:p>
    <w:p>
      <w:pPr>
        <w:pStyle w:val="ListParagraph"/>
        <w:numPr>
          <w:ilvl w:val="0"/>
          <w:numId w:val="2"/>
        </w:numPr>
        <w:spacing w:after="40"/>
      </w:pPr>
      <w:r>
        <w:rPr>
          <w:rFonts w:ascii="Calibri" w:cs="Calibri" w:eastAsia="Calibri" w:hAnsi="Calibri"/>
          <w:sz w:val="15"/>
          <w:szCs w:val="15"/>
        </w:rPr>
        <w:t xml:space="preserve">Other MeitY-empaneled cloud</w:t>
      </w:r>
    </w:p>
    <w:p>
      <w:pPr>
        <w:pStyle w:val="ListParagraph"/>
        <w:numPr>
          <w:ilvl w:val="0"/>
          <w:numId w:val="2"/>
        </w:numPr>
        <w:spacing w:after="40"/>
      </w:pPr>
      <w:r>
        <w:rPr>
          <w:rFonts w:ascii="Calibri" w:cs="Calibri" w:eastAsia="Calibri" w:hAnsi="Calibri"/>
          <w:sz w:val="15"/>
          <w:szCs w:val="15"/>
        </w:rPr>
        <w:t xml:space="preserve">Hyperscaler India regions (rejected for primary control plane)</w:t>
      </w:r>
    </w:p>
    <w:p>
      <w:pPr>
        <w:pStyle w:val="Heading2"/>
        <w:spacing w:after="90" w:before="200"/>
      </w:pPr>
      <w:r>
        <w:rPr>
          <w:rFonts w:ascii="Calibri" w:cs="Calibri" w:eastAsia="Calibri" w:hAnsi="Calibri"/>
          <w:b/>
          <w:bCs/>
          <w:color w:val="2874A6"/>
          <w:sz w:val="18"/>
          <w:szCs w:val="18"/>
        </w:rPr>
        <w:t xml:space="preserve">Consequences</w:t>
      </w:r>
    </w:p>
    <w:p>
      <w:pPr>
        <w:spacing w:after="80"/>
      </w:pPr>
      <w:r>
        <w:rPr>
          <w:rFonts w:ascii="Calibri" w:cs="Calibri" w:eastAsia="Calibri" w:hAnsi="Calibri"/>
          <w:sz w:val="16"/>
          <w:szCs w:val="16"/>
        </w:rPr>
        <w:t xml:space="preserve">Positive: Compliance with data localisation and government policy; single operational relationship with NIC.</w:t>
      </w:r>
    </w:p>
    <w:p>
      <w:pPr>
        <w:spacing w:after="80"/>
      </w:pPr>
      <w:r>
        <w:rPr>
          <w:rFonts w:ascii="Calibri" w:cs="Calibri" w:eastAsia="Calibri" w:hAnsi="Calibri"/>
          <w:sz w:val="16"/>
          <w:szCs w:val="16"/>
        </w:rPr>
        <w:t xml:space="preserve">Negative: Must work within NIC service catalogue, quotas, and operational processes; some managed services may differ from public cloud.</w:t>
      </w:r>
    </w:p>
    <w:p>
      <w:pPr>
        <w:spacing w:after="80"/>
      </w:pPr>
      <w:r>
        <w:rPr>
          <w:rFonts w:ascii="Calibri" w:cs="Calibri" w:eastAsia="Calibri" w:hAnsi="Calibri"/>
          <w:sz w:val="16"/>
          <w:szCs w:val="16"/>
        </w:rPr>
        <w:t xml:space="preserve">Related: All architecture and DR plans assume NIC capabilities.</w:t>
      </w:r>
    </w:p>
    <w:p>
      <w:pPr>
        <w:pStyle w:val="Heading1"/>
        <w:spacing w:after="140" w:before="280"/>
      </w:pPr>
      <w:r>
        <w:rPr>
          <w:rFonts w:ascii="Calibri" w:cs="Calibri" w:eastAsia="Calibri" w:hAnsi="Calibri"/>
          <w:b/>
          <w:bCs/>
          <w:color w:val="1B4F72"/>
          <w:sz w:val="24"/>
          <w:szCs w:val="24"/>
        </w:rPr>
        <w:t xml:space="preserve">6. ADR-005: Authentication Approach</w:t>
      </w:r>
    </w:p>
    <w:p>
      <w:pPr>
        <w:pStyle w:val="Heading2"/>
        <w:spacing w:after="90" w:before="200"/>
      </w:pPr>
      <w:r>
        <w:rPr>
          <w:rFonts w:ascii="Calibri" w:cs="Calibri" w:eastAsia="Calibri" w:hAnsi="Calibri"/>
          <w:b/>
          <w:bCs/>
          <w:color w:val="2874A6"/>
          <w:sz w:val="18"/>
          <w:szCs w:val="18"/>
        </w:rPr>
        <w:t xml:space="preserve">Status</w:t>
      </w:r>
    </w:p>
    <w:p>
      <w:pPr>
        <w:spacing w:after="80"/>
      </w:pPr>
      <w:r>
        <w:rPr>
          <w:rFonts w:ascii="Calibri" w:cs="Calibri" w:eastAsia="Calibri" w:hAnsi="Calibri"/>
          <w:sz w:val="16"/>
          <w:szCs w:val="16"/>
        </w:rPr>
        <w:t xml:space="preserve">Accepted — August 2026</w:t>
      </w:r>
    </w:p>
    <w:p>
      <w:pPr>
        <w:pStyle w:val="Heading2"/>
        <w:spacing w:after="90" w:before="200"/>
      </w:pPr>
      <w:r>
        <w:rPr>
          <w:rFonts w:ascii="Calibri" w:cs="Calibri" w:eastAsia="Calibri" w:hAnsi="Calibri"/>
          <w:b/>
          <w:bCs/>
          <w:color w:val="2874A6"/>
          <w:sz w:val="18"/>
          <w:szCs w:val="18"/>
        </w:rPr>
        <w:t xml:space="preserve">Context</w:t>
      </w:r>
    </w:p>
    <w:p>
      <w:pPr>
        <w:spacing w:after="80"/>
      </w:pPr>
      <w:r>
        <w:rPr>
          <w:rFonts w:ascii="Calibri" w:cs="Calibri" w:eastAsia="Calibri" w:hAnsi="Calibri"/>
          <w:sz w:val="16"/>
          <w:szCs w:val="16"/>
        </w:rPr>
        <w:t xml:space="preserve">Need a simple, inclusive, low-friction login for students (including those without email or DigiLocker), while supporting optional stronger verification and never storing Aadhaar numbers.</w:t>
      </w:r>
    </w:p>
    <w:p>
      <w:pPr>
        <w:pStyle w:val="Heading2"/>
        <w:spacing w:after="90" w:before="200"/>
      </w:pPr>
      <w:r>
        <w:rPr>
          <w:rFonts w:ascii="Calibri" w:cs="Calibri" w:eastAsia="Calibri" w:hAnsi="Calibri"/>
          <w:b/>
          <w:bCs/>
          <w:color w:val="2874A6"/>
          <w:sz w:val="18"/>
          <w:szCs w:val="18"/>
        </w:rPr>
        <w:t xml:space="preserve">Decision</w:t>
      </w:r>
    </w:p>
    <w:p>
      <w:pPr>
        <w:spacing w:after="80"/>
      </w:pPr>
      <w:r>
        <w:rPr>
          <w:rFonts w:ascii="Calibri" w:cs="Calibri" w:eastAsia="Calibri" w:hAnsi="Calibri"/>
          <w:sz w:val="16"/>
          <w:szCs w:val="16"/>
        </w:rPr>
        <w:t xml:space="preserve">Primary authentication: Mobile number + OTP (SMS). Optional: DigiLocker / eKYC verification for “Verified” badge. No password-based primary login for students. JWT access tokens + rotating refresh tokens. No storage of Aadhaar number.</w:t>
      </w:r>
    </w:p>
    <w:p>
      <w:pPr>
        <w:pStyle w:val="Heading2"/>
        <w:spacing w:after="90" w:before="200"/>
      </w:pPr>
      <w:r>
        <w:rPr>
          <w:rFonts w:ascii="Calibri" w:cs="Calibri" w:eastAsia="Calibri" w:hAnsi="Calibri"/>
          <w:b/>
          <w:bCs/>
          <w:color w:val="2874A6"/>
          <w:sz w:val="18"/>
          <w:szCs w:val="18"/>
        </w:rPr>
        <w:t xml:space="preserve">Options Considered</w:t>
      </w:r>
    </w:p>
    <w:p>
      <w:pPr>
        <w:pStyle w:val="ListParagraph"/>
        <w:numPr>
          <w:ilvl w:val="0"/>
          <w:numId w:val="2"/>
        </w:numPr>
        <w:spacing w:after="40"/>
      </w:pPr>
      <w:r>
        <w:rPr>
          <w:rFonts w:ascii="Calibri" w:cs="Calibri" w:eastAsia="Calibri" w:hAnsi="Calibri"/>
          <w:sz w:val="15"/>
          <w:szCs w:val="15"/>
        </w:rPr>
        <w:t xml:space="preserve">Mobile OTP only (core)</w:t>
      </w:r>
    </w:p>
    <w:p>
      <w:pPr>
        <w:pStyle w:val="ListParagraph"/>
        <w:numPr>
          <w:ilvl w:val="0"/>
          <w:numId w:val="2"/>
        </w:numPr>
        <w:spacing w:after="40"/>
      </w:pPr>
      <w:r>
        <w:rPr>
          <w:rFonts w:ascii="Calibri" w:cs="Calibri" w:eastAsia="Calibri" w:hAnsi="Calibri"/>
          <w:sz w:val="15"/>
          <w:szCs w:val="15"/>
        </w:rPr>
        <w:t xml:space="preserve">Mobile OTP + optional DigiLocker (Selected)</w:t>
      </w:r>
    </w:p>
    <w:p>
      <w:pPr>
        <w:pStyle w:val="ListParagraph"/>
        <w:numPr>
          <w:ilvl w:val="0"/>
          <w:numId w:val="2"/>
        </w:numPr>
        <w:spacing w:after="40"/>
      </w:pPr>
      <w:r>
        <w:rPr>
          <w:rFonts w:ascii="Calibri" w:cs="Calibri" w:eastAsia="Calibri" w:hAnsi="Calibri"/>
          <w:sz w:val="15"/>
          <w:szCs w:val="15"/>
        </w:rPr>
        <w:t xml:space="preserve">Aadhaar mandatory (Rejected — inclusion &amp; privacy)</w:t>
      </w:r>
    </w:p>
    <w:p>
      <w:pPr>
        <w:pStyle w:val="ListParagraph"/>
        <w:numPr>
          <w:ilvl w:val="0"/>
          <w:numId w:val="2"/>
        </w:numPr>
        <w:spacing w:after="40"/>
      </w:pPr>
      <w:r>
        <w:rPr>
          <w:rFonts w:ascii="Calibri" w:cs="Calibri" w:eastAsia="Calibri" w:hAnsi="Calibri"/>
          <w:sz w:val="15"/>
          <w:szCs w:val="15"/>
        </w:rPr>
        <w:t xml:space="preserve">Email + password (Rejected as primary for target users)</w:t>
      </w:r>
    </w:p>
    <w:p>
      <w:pPr>
        <w:pStyle w:val="Heading2"/>
        <w:spacing w:after="90" w:before="200"/>
      </w:pPr>
      <w:r>
        <w:rPr>
          <w:rFonts w:ascii="Calibri" w:cs="Calibri" w:eastAsia="Calibri" w:hAnsi="Calibri"/>
          <w:b/>
          <w:bCs/>
          <w:color w:val="2874A6"/>
          <w:sz w:val="18"/>
          <w:szCs w:val="18"/>
        </w:rPr>
        <w:t xml:space="preserve">Consequences</w:t>
      </w:r>
    </w:p>
    <w:p>
      <w:pPr>
        <w:spacing w:after="80"/>
      </w:pPr>
      <w:r>
        <w:rPr>
          <w:rFonts w:ascii="Calibri" w:cs="Calibri" w:eastAsia="Calibri" w:hAnsi="Calibri"/>
          <w:sz w:val="16"/>
          <w:szCs w:val="16"/>
        </w:rPr>
        <w:t xml:space="preserve">Positive: High inclusion; aligns with Indian user behaviour; privacy-preserving.</w:t>
      </w:r>
    </w:p>
    <w:p>
      <w:pPr>
        <w:spacing w:after="80"/>
      </w:pPr>
      <w:r>
        <w:rPr>
          <w:rFonts w:ascii="Calibri" w:cs="Calibri" w:eastAsia="Calibri" w:hAnsi="Calibri"/>
          <w:sz w:val="16"/>
          <w:szCs w:val="16"/>
        </w:rPr>
        <w:t xml:space="preserve">Negative: Dependency on SMS delivery reliability and cost; OTP fatigue if overused.</w:t>
      </w:r>
    </w:p>
    <w:p>
      <w:pPr>
        <w:spacing w:after="80"/>
      </w:pPr>
      <w:r>
        <w:rPr>
          <w:rFonts w:ascii="Calibri" w:cs="Calibri" w:eastAsia="Calibri" w:hAnsi="Calibri"/>
          <w:sz w:val="16"/>
          <w:szCs w:val="16"/>
        </w:rPr>
        <w:t xml:space="preserve">Mitigation: Dual SMS providers; rate limits; clear UX for delays.</w:t>
      </w:r>
    </w:p>
    <w:p>
      <w:pPr>
        <w:pStyle w:val="Heading1"/>
        <w:spacing w:after="140" w:before="280"/>
      </w:pPr>
      <w:r>
        <w:rPr>
          <w:rFonts w:ascii="Calibri" w:cs="Calibri" w:eastAsia="Calibri" w:hAnsi="Calibri"/>
          <w:b/>
          <w:bCs/>
          <w:color w:val="1B4F72"/>
          <w:sz w:val="24"/>
          <w:szCs w:val="24"/>
        </w:rPr>
        <w:t xml:space="preserve">7. ADR-006: Live Class Architecture</w:t>
      </w:r>
    </w:p>
    <w:p>
      <w:pPr>
        <w:pStyle w:val="Heading2"/>
        <w:spacing w:after="90" w:before="200"/>
      </w:pPr>
      <w:r>
        <w:rPr>
          <w:rFonts w:ascii="Calibri" w:cs="Calibri" w:eastAsia="Calibri" w:hAnsi="Calibri"/>
          <w:b/>
          <w:bCs/>
          <w:color w:val="2874A6"/>
          <w:sz w:val="18"/>
          <w:szCs w:val="18"/>
        </w:rPr>
        <w:t xml:space="preserve">Status</w:t>
      </w:r>
    </w:p>
    <w:p>
      <w:pPr>
        <w:spacing w:after="80"/>
      </w:pPr>
      <w:r>
        <w:rPr>
          <w:rFonts w:ascii="Calibri" w:cs="Calibri" w:eastAsia="Calibri" w:hAnsi="Calibri"/>
          <w:sz w:val="16"/>
          <w:szCs w:val="16"/>
        </w:rPr>
        <w:t xml:space="preserve">Accepted — August 2026</w:t>
      </w:r>
    </w:p>
    <w:p>
      <w:pPr>
        <w:pStyle w:val="Heading2"/>
        <w:spacing w:after="90" w:before="200"/>
      </w:pPr>
      <w:r>
        <w:rPr>
          <w:rFonts w:ascii="Calibri" w:cs="Calibri" w:eastAsia="Calibri" w:hAnsi="Calibri"/>
          <w:b/>
          <w:bCs/>
          <w:color w:val="2874A6"/>
          <w:sz w:val="18"/>
          <w:szCs w:val="18"/>
        </w:rPr>
        <w:t xml:space="preserve">Context</w:t>
      </w:r>
    </w:p>
    <w:p>
      <w:pPr>
        <w:spacing w:after="80"/>
      </w:pPr>
      <w:r>
        <w:rPr>
          <w:rFonts w:ascii="Calibri" w:cs="Calibri" w:eastAsia="Calibri" w:hAnsi="Calibri"/>
          <w:sz w:val="16"/>
          <w:szCs w:val="16"/>
        </w:rPr>
        <w:t xml:space="preserve">Need to support very large concurrent audiences (target 10 lakh+) while offering interactive features for a subset of users and remaining resilient when interactive capacity is exceeded.</w:t>
      </w:r>
    </w:p>
    <w:p>
      <w:pPr>
        <w:pStyle w:val="Heading2"/>
        <w:spacing w:after="90" w:before="200"/>
      </w:pPr>
      <w:r>
        <w:rPr>
          <w:rFonts w:ascii="Calibri" w:cs="Calibri" w:eastAsia="Calibri" w:hAnsi="Calibri"/>
          <w:b/>
          <w:bCs/>
          <w:color w:val="2874A6"/>
          <w:sz w:val="18"/>
          <w:szCs w:val="18"/>
        </w:rPr>
        <w:t xml:space="preserve">Decision</w:t>
      </w:r>
    </w:p>
    <w:p>
      <w:pPr>
        <w:spacing w:after="80"/>
      </w:pPr>
      <w:r>
        <w:rPr>
          <w:rFonts w:ascii="Calibri" w:cs="Calibri" w:eastAsia="Calibri" w:hAnsi="Calibri"/>
          <w:sz w:val="16"/>
          <w:szCs w:val="16"/>
        </w:rPr>
        <w:t xml:space="preserve">Hybrid model: Interactive path via WebRTC SFU (LiveKit / Agora or equivalent) for limited concurrent interactive seats; simultaneous broadcast via HLS and automatic parallel stream to YouTube Live for massive scale and fallback.</w:t>
      </w:r>
    </w:p>
    <w:p>
      <w:pPr>
        <w:pStyle w:val="Heading2"/>
        <w:spacing w:after="90" w:before="200"/>
      </w:pPr>
      <w:r>
        <w:rPr>
          <w:rFonts w:ascii="Calibri" w:cs="Calibri" w:eastAsia="Calibri" w:hAnsi="Calibri"/>
          <w:b/>
          <w:bCs/>
          <w:color w:val="2874A6"/>
          <w:sz w:val="18"/>
          <w:szCs w:val="18"/>
        </w:rPr>
        <w:t xml:space="preserve">Options Considered</w:t>
      </w:r>
    </w:p>
    <w:p>
      <w:pPr>
        <w:pStyle w:val="ListParagraph"/>
        <w:numPr>
          <w:ilvl w:val="0"/>
          <w:numId w:val="2"/>
        </w:numPr>
        <w:spacing w:after="40"/>
      </w:pPr>
      <w:r>
        <w:rPr>
          <w:rFonts w:ascii="Calibri" w:cs="Calibri" w:eastAsia="Calibri" w:hAnsi="Calibri"/>
          <w:sz w:val="15"/>
          <w:szCs w:val="15"/>
        </w:rPr>
        <w:t xml:space="preserve">Pure WebRTC for everyone (Rejected — cost and scale limits)</w:t>
      </w:r>
    </w:p>
    <w:p>
      <w:pPr>
        <w:pStyle w:val="ListParagraph"/>
        <w:numPr>
          <w:ilvl w:val="0"/>
          <w:numId w:val="2"/>
        </w:numPr>
        <w:spacing w:after="40"/>
      </w:pPr>
      <w:r>
        <w:rPr>
          <w:rFonts w:ascii="Calibri" w:cs="Calibri" w:eastAsia="Calibri" w:hAnsi="Calibri"/>
          <w:sz w:val="15"/>
          <w:szCs w:val="15"/>
        </w:rPr>
        <w:t xml:space="preserve">Pure HLS / YouTube only (Rejected — loses interactivity)</w:t>
      </w:r>
    </w:p>
    <w:p>
      <w:pPr>
        <w:pStyle w:val="ListParagraph"/>
        <w:numPr>
          <w:ilvl w:val="0"/>
          <w:numId w:val="2"/>
        </w:numPr>
        <w:spacing w:after="40"/>
      </w:pPr>
      <w:r>
        <w:rPr>
          <w:rFonts w:ascii="Calibri" w:cs="Calibri" w:eastAsia="Calibri" w:hAnsi="Calibri"/>
          <w:sz w:val="15"/>
          <w:szCs w:val="15"/>
        </w:rPr>
        <w:t xml:space="preserve">Hybrid interactive + broadcast (Selected)</w:t>
      </w:r>
    </w:p>
    <w:p>
      <w:pPr>
        <w:pStyle w:val="Heading2"/>
        <w:spacing w:after="90" w:before="200"/>
      </w:pPr>
      <w:r>
        <w:rPr>
          <w:rFonts w:ascii="Calibri" w:cs="Calibri" w:eastAsia="Calibri" w:hAnsi="Calibri"/>
          <w:b/>
          <w:bCs/>
          <w:color w:val="2874A6"/>
          <w:sz w:val="18"/>
          <w:szCs w:val="18"/>
        </w:rPr>
        <w:t xml:space="preserve">Consequences</w:t>
      </w:r>
    </w:p>
    <w:p>
      <w:pPr>
        <w:spacing w:after="80"/>
      </w:pPr>
      <w:r>
        <w:rPr>
          <w:rFonts w:ascii="Calibri" w:cs="Calibri" w:eastAsia="Calibri" w:hAnsi="Calibri"/>
          <w:sz w:val="16"/>
          <w:szCs w:val="16"/>
        </w:rPr>
        <w:t xml:space="preserve">Positive: Realistic path to 10L+ viewers; interactivity preserved for many; resilient fallback.</w:t>
      </w:r>
    </w:p>
    <w:p>
      <w:pPr>
        <w:spacing w:after="80"/>
      </w:pPr>
      <w:r>
        <w:rPr>
          <w:rFonts w:ascii="Calibri" w:cs="Calibri" w:eastAsia="Calibri" w:hAnsi="Calibri"/>
          <w:sz w:val="16"/>
          <w:szCs w:val="16"/>
        </w:rPr>
        <w:t xml:space="preserve">Negative: More moving parts; need careful capacity management and overflow UX.</w:t>
      </w:r>
    </w:p>
    <w:p>
      <w:pPr>
        <w:spacing w:after="80"/>
      </w:pPr>
      <w:r>
        <w:rPr>
          <w:rFonts w:ascii="Calibri" w:cs="Calibri" w:eastAsia="Calibri" w:hAnsi="Calibri"/>
          <w:sz w:val="16"/>
          <w:szCs w:val="16"/>
        </w:rPr>
        <w:t xml:space="preserve">Related: Live Class playbooks and load testing plans.</w:t>
      </w:r>
    </w:p>
    <w:p>
      <w:pPr>
        <w:pStyle w:val="Heading1"/>
        <w:spacing w:after="140" w:before="280"/>
      </w:pPr>
      <w:r>
        <w:rPr>
          <w:rFonts w:ascii="Calibri" w:cs="Calibri" w:eastAsia="Calibri" w:hAnsi="Calibri"/>
          <w:b/>
          <w:bCs/>
          <w:color w:val="1B4F72"/>
          <w:sz w:val="24"/>
          <w:szCs w:val="24"/>
        </w:rPr>
        <w:t xml:space="preserve">8. ADR-007: AI Serving Strategy</w:t>
      </w:r>
    </w:p>
    <w:p>
      <w:pPr>
        <w:pStyle w:val="Heading2"/>
        <w:spacing w:after="90" w:before="200"/>
      </w:pPr>
      <w:r>
        <w:rPr>
          <w:rFonts w:ascii="Calibri" w:cs="Calibri" w:eastAsia="Calibri" w:hAnsi="Calibri"/>
          <w:b/>
          <w:bCs/>
          <w:color w:val="2874A6"/>
          <w:sz w:val="18"/>
          <w:szCs w:val="18"/>
        </w:rPr>
        <w:t xml:space="preserve">Status</w:t>
      </w:r>
    </w:p>
    <w:p>
      <w:pPr>
        <w:spacing w:after="80"/>
      </w:pPr>
      <w:r>
        <w:rPr>
          <w:rFonts w:ascii="Calibri" w:cs="Calibri" w:eastAsia="Calibri" w:hAnsi="Calibri"/>
          <w:sz w:val="16"/>
          <w:szCs w:val="16"/>
        </w:rPr>
        <w:t xml:space="preserve">Accepted — August 2026</w:t>
      </w:r>
    </w:p>
    <w:p>
      <w:pPr>
        <w:pStyle w:val="Heading2"/>
        <w:spacing w:after="90" w:before="200"/>
      </w:pPr>
      <w:r>
        <w:rPr>
          <w:rFonts w:ascii="Calibri" w:cs="Calibri" w:eastAsia="Calibri" w:hAnsi="Calibri"/>
          <w:b/>
          <w:bCs/>
          <w:color w:val="2874A6"/>
          <w:sz w:val="18"/>
          <w:szCs w:val="18"/>
        </w:rPr>
        <w:t xml:space="preserve">Context</w:t>
      </w:r>
    </w:p>
    <w:p>
      <w:pPr>
        <w:spacing w:after="80"/>
      </w:pPr>
      <w:r>
        <w:rPr>
          <w:rFonts w:ascii="Calibri" w:cs="Calibri" w:eastAsia="Calibri" w:hAnsi="Calibri"/>
          <w:sz w:val="16"/>
          <w:szCs w:val="16"/>
        </w:rPr>
        <w:t xml:space="preserve">Need personalised study plans, doubt solving, diagnostics, and readiness scoring while keeping data in India, controlling cost, and meeting latency targets (&lt;3s p95 for text doubt).</w:t>
      </w:r>
    </w:p>
    <w:p>
      <w:pPr>
        <w:pStyle w:val="Heading2"/>
        <w:spacing w:after="90" w:before="200"/>
      </w:pPr>
      <w:r>
        <w:rPr>
          <w:rFonts w:ascii="Calibri" w:cs="Calibri" w:eastAsia="Calibri" w:hAnsi="Calibri"/>
          <w:b/>
          <w:bCs/>
          <w:color w:val="2874A6"/>
          <w:sz w:val="18"/>
          <w:szCs w:val="18"/>
        </w:rPr>
        <w:t xml:space="preserve">Decision</w:t>
      </w:r>
    </w:p>
    <w:p>
      <w:pPr>
        <w:spacing w:after="80"/>
      </w:pPr>
      <w:r>
        <w:rPr>
          <w:rFonts w:ascii="Calibri" w:cs="Calibri" w:eastAsia="Calibri" w:hAnsi="Calibri"/>
          <w:sz w:val="16"/>
          <w:szCs w:val="16"/>
        </w:rPr>
        <w:t xml:space="preserve">Self-host open-weight Indian-friendly LLMs (e.g., LLaMA 3 variants or approved equivalents) on NIC GPU infrastructure. Use FastAPI-based AI services. Implement caching, quantisation, and fallback responses. Keep AI services separate from core transactional path so core learning continues if AI is degraded.</w:t>
      </w:r>
    </w:p>
    <w:p>
      <w:pPr>
        <w:pStyle w:val="Heading2"/>
        <w:spacing w:after="90" w:before="200"/>
      </w:pPr>
      <w:r>
        <w:rPr>
          <w:rFonts w:ascii="Calibri" w:cs="Calibri" w:eastAsia="Calibri" w:hAnsi="Calibri"/>
          <w:b/>
          <w:bCs/>
          <w:color w:val="2874A6"/>
          <w:sz w:val="18"/>
          <w:szCs w:val="18"/>
        </w:rPr>
        <w:t xml:space="preserve">Options Considered</w:t>
      </w:r>
    </w:p>
    <w:p>
      <w:pPr>
        <w:pStyle w:val="ListParagraph"/>
        <w:numPr>
          <w:ilvl w:val="0"/>
          <w:numId w:val="2"/>
        </w:numPr>
        <w:spacing w:after="40"/>
      </w:pPr>
      <w:r>
        <w:rPr>
          <w:rFonts w:ascii="Calibri" w:cs="Calibri" w:eastAsia="Calibri" w:hAnsi="Calibri"/>
          <w:sz w:val="15"/>
          <w:szCs w:val="15"/>
        </w:rPr>
        <w:t xml:space="preserve">Self-hosted open models on NIC GPUs (Selected)</w:t>
      </w:r>
    </w:p>
    <w:p>
      <w:pPr>
        <w:pStyle w:val="ListParagraph"/>
        <w:numPr>
          <w:ilvl w:val="0"/>
          <w:numId w:val="2"/>
        </w:numPr>
        <w:spacing w:after="40"/>
      </w:pPr>
      <w:r>
        <w:rPr>
          <w:rFonts w:ascii="Calibri" w:cs="Calibri" w:eastAsia="Calibri" w:hAnsi="Calibri"/>
          <w:sz w:val="15"/>
          <w:szCs w:val="15"/>
        </w:rPr>
        <w:t xml:space="preserve">Commercial API (OpenAI etc.) — Rejected for data residency and cost control</w:t>
      </w:r>
    </w:p>
    <w:p>
      <w:pPr>
        <w:pStyle w:val="ListParagraph"/>
        <w:numPr>
          <w:ilvl w:val="0"/>
          <w:numId w:val="2"/>
        </w:numPr>
        <w:spacing w:after="40"/>
      </w:pPr>
      <w:r>
        <w:rPr>
          <w:rFonts w:ascii="Calibri" w:cs="Calibri" w:eastAsia="Calibri" w:hAnsi="Calibri"/>
          <w:sz w:val="15"/>
          <w:szCs w:val="15"/>
        </w:rPr>
        <w:t xml:space="preserve">Fully rule-based (Rejected — insufficient personalisation)</w:t>
      </w:r>
    </w:p>
    <w:p>
      <w:pPr>
        <w:pStyle w:val="Heading2"/>
        <w:spacing w:after="90" w:before="200"/>
      </w:pPr>
      <w:r>
        <w:rPr>
          <w:rFonts w:ascii="Calibri" w:cs="Calibri" w:eastAsia="Calibri" w:hAnsi="Calibri"/>
          <w:b/>
          <w:bCs/>
          <w:color w:val="2874A6"/>
          <w:sz w:val="18"/>
          <w:szCs w:val="18"/>
        </w:rPr>
        <w:t xml:space="preserve">Consequences</w:t>
      </w:r>
    </w:p>
    <w:p>
      <w:pPr>
        <w:spacing w:after="80"/>
      </w:pPr>
      <w:r>
        <w:rPr>
          <w:rFonts w:ascii="Calibri" w:cs="Calibri" w:eastAsia="Calibri" w:hAnsi="Calibri"/>
          <w:sz w:val="16"/>
          <w:szCs w:val="16"/>
        </w:rPr>
        <w:t xml:space="preserve">Positive: Data residency; cost predictability; full control over fine-tuning and safety.</w:t>
      </w:r>
    </w:p>
    <w:p>
      <w:pPr>
        <w:spacing w:after="80"/>
      </w:pPr>
      <w:r>
        <w:rPr>
          <w:rFonts w:ascii="Calibri" w:cs="Calibri" w:eastAsia="Calibri" w:hAnsi="Calibri"/>
          <w:sz w:val="16"/>
          <w:szCs w:val="16"/>
        </w:rPr>
        <w:t xml:space="preserve">Negative: Requires GPU capacity planning and MLOps maturity.</w:t>
      </w:r>
    </w:p>
    <w:p>
      <w:pPr>
        <w:spacing w:after="80"/>
      </w:pPr>
      <w:r>
        <w:rPr>
          <w:rFonts w:ascii="Calibri" w:cs="Calibri" w:eastAsia="Calibri" w:hAnsi="Calibri"/>
          <w:sz w:val="16"/>
          <w:szCs w:val="16"/>
        </w:rPr>
        <w:t xml:space="preserve">Mitigation: Start with smaller models; aggressive caching; graceful degradation.</w:t>
      </w:r>
    </w:p>
    <w:p>
      <w:pPr>
        <w:pStyle w:val="Heading1"/>
        <w:spacing w:after="140" w:before="280"/>
      </w:pPr>
      <w:r>
        <w:rPr>
          <w:rFonts w:ascii="Calibri" w:cs="Calibri" w:eastAsia="Calibri" w:hAnsi="Calibri"/>
          <w:b/>
          <w:bCs/>
          <w:color w:val="1B4F72"/>
          <w:sz w:val="24"/>
          <w:szCs w:val="24"/>
        </w:rPr>
        <w:t xml:space="preserve">9. ADR-008: API Style &amp; Gateway</w:t>
      </w:r>
    </w:p>
    <w:p>
      <w:pPr>
        <w:pStyle w:val="Heading2"/>
        <w:spacing w:after="90" w:before="200"/>
      </w:pPr>
      <w:r>
        <w:rPr>
          <w:rFonts w:ascii="Calibri" w:cs="Calibri" w:eastAsia="Calibri" w:hAnsi="Calibri"/>
          <w:b/>
          <w:bCs/>
          <w:color w:val="2874A6"/>
          <w:sz w:val="18"/>
          <w:szCs w:val="18"/>
        </w:rPr>
        <w:t xml:space="preserve">Status</w:t>
      </w:r>
    </w:p>
    <w:p>
      <w:pPr>
        <w:spacing w:after="80"/>
      </w:pPr>
      <w:r>
        <w:rPr>
          <w:rFonts w:ascii="Calibri" w:cs="Calibri" w:eastAsia="Calibri" w:hAnsi="Calibri"/>
          <w:sz w:val="16"/>
          <w:szCs w:val="16"/>
        </w:rPr>
        <w:t xml:space="preserve">Accepted — August 2026</w:t>
      </w:r>
    </w:p>
    <w:p>
      <w:pPr>
        <w:pStyle w:val="Heading2"/>
        <w:spacing w:after="90" w:before="200"/>
      </w:pPr>
      <w:r>
        <w:rPr>
          <w:rFonts w:ascii="Calibri" w:cs="Calibri" w:eastAsia="Calibri" w:hAnsi="Calibri"/>
          <w:b/>
          <w:bCs/>
          <w:color w:val="2874A6"/>
          <w:sz w:val="18"/>
          <w:szCs w:val="18"/>
        </w:rPr>
        <w:t xml:space="preserve">Context</w:t>
      </w:r>
    </w:p>
    <w:p>
      <w:pPr>
        <w:spacing w:after="80"/>
      </w:pPr>
      <w:r>
        <w:rPr>
          <w:rFonts w:ascii="Calibri" w:cs="Calibri" w:eastAsia="Calibri" w:hAnsi="Calibri"/>
          <w:sz w:val="16"/>
          <w:szCs w:val="16"/>
        </w:rPr>
        <w:t xml:space="preserve">Need consistent, versioned, secure APIs for mobile, web, and future partners, with centralised cross-cutting concerns.</w:t>
      </w:r>
    </w:p>
    <w:p>
      <w:pPr>
        <w:pStyle w:val="Heading2"/>
        <w:spacing w:after="90" w:before="200"/>
      </w:pPr>
      <w:r>
        <w:rPr>
          <w:rFonts w:ascii="Calibri" w:cs="Calibri" w:eastAsia="Calibri" w:hAnsi="Calibri"/>
          <w:b/>
          <w:bCs/>
          <w:color w:val="2874A6"/>
          <w:sz w:val="18"/>
          <w:szCs w:val="18"/>
        </w:rPr>
        <w:t xml:space="preserve">Decision</w:t>
      </w:r>
    </w:p>
    <w:p>
      <w:pPr>
        <w:spacing w:after="80"/>
      </w:pPr>
      <w:r>
        <w:rPr>
          <w:rFonts w:ascii="Calibri" w:cs="Calibri" w:eastAsia="Calibri" w:hAnsi="Calibri"/>
          <w:sz w:val="16"/>
          <w:szCs w:val="16"/>
        </w:rPr>
        <w:t xml:space="preserve">REST APIs as primary style, documented with OpenAPI 3.0. API Gateway (Kong / NIC-equivalent / cloud gateway) for auth, rate limiting, routing, and TLS termination. Versioning via URI or header (prefer /v1/...).</w:t>
      </w:r>
    </w:p>
    <w:p>
      <w:pPr>
        <w:pStyle w:val="Heading2"/>
        <w:spacing w:after="90" w:before="200"/>
      </w:pPr>
      <w:r>
        <w:rPr>
          <w:rFonts w:ascii="Calibri" w:cs="Calibri" w:eastAsia="Calibri" w:hAnsi="Calibri"/>
          <w:b/>
          <w:bCs/>
          <w:color w:val="2874A6"/>
          <w:sz w:val="18"/>
          <w:szCs w:val="18"/>
        </w:rPr>
        <w:t xml:space="preserve">Options Considered</w:t>
      </w:r>
    </w:p>
    <w:p>
      <w:pPr>
        <w:pStyle w:val="ListParagraph"/>
        <w:numPr>
          <w:ilvl w:val="0"/>
          <w:numId w:val="2"/>
        </w:numPr>
        <w:spacing w:after="40"/>
      </w:pPr>
      <w:r>
        <w:rPr>
          <w:rFonts w:ascii="Calibri" w:cs="Calibri" w:eastAsia="Calibri" w:hAnsi="Calibri"/>
          <w:sz w:val="15"/>
          <w:szCs w:val="15"/>
        </w:rPr>
        <w:t xml:space="preserve">REST + OpenAPI (Selected)</w:t>
      </w:r>
    </w:p>
    <w:p>
      <w:pPr>
        <w:pStyle w:val="ListParagraph"/>
        <w:numPr>
          <w:ilvl w:val="0"/>
          <w:numId w:val="2"/>
        </w:numPr>
        <w:spacing w:after="40"/>
      </w:pPr>
      <w:r>
        <w:rPr>
          <w:rFonts w:ascii="Calibri" w:cs="Calibri" w:eastAsia="Calibri" w:hAnsi="Calibri"/>
          <w:sz w:val="15"/>
          <w:szCs w:val="15"/>
        </w:rPr>
        <w:t xml:space="preserve">GraphQL as primary (Deferred — added complexity for clients and caching)</w:t>
      </w:r>
    </w:p>
    <w:p>
      <w:pPr>
        <w:pStyle w:val="ListParagraph"/>
        <w:numPr>
          <w:ilvl w:val="0"/>
          <w:numId w:val="2"/>
        </w:numPr>
        <w:spacing w:after="40"/>
      </w:pPr>
      <w:r>
        <w:rPr>
          <w:rFonts w:ascii="Calibri" w:cs="Calibri" w:eastAsia="Calibri" w:hAnsi="Calibri"/>
          <w:sz w:val="15"/>
          <w:szCs w:val="15"/>
        </w:rPr>
        <w:t xml:space="preserve">gRPC for external clients (Rejected for mobile/web simplicity)</w:t>
      </w:r>
    </w:p>
    <w:p>
      <w:pPr>
        <w:pStyle w:val="Heading2"/>
        <w:spacing w:after="90" w:before="200"/>
      </w:pPr>
      <w:r>
        <w:rPr>
          <w:rFonts w:ascii="Calibri" w:cs="Calibri" w:eastAsia="Calibri" w:hAnsi="Calibri"/>
          <w:b/>
          <w:bCs/>
          <w:color w:val="2874A6"/>
          <w:sz w:val="18"/>
          <w:szCs w:val="18"/>
        </w:rPr>
        <w:t xml:space="preserve">Consequences</w:t>
      </w:r>
    </w:p>
    <w:p>
      <w:pPr>
        <w:spacing w:after="80"/>
      </w:pPr>
      <w:r>
        <w:rPr>
          <w:rFonts w:ascii="Calibri" w:cs="Calibri" w:eastAsia="Calibri" w:hAnsi="Calibri"/>
          <w:sz w:val="16"/>
          <w:szCs w:val="16"/>
        </w:rPr>
        <w:t xml:space="preserve">Positive: Familiar to all clients; excellent tooling; easy caching and rate limiting.</w:t>
      </w:r>
    </w:p>
    <w:p>
      <w:pPr>
        <w:spacing w:after="80"/>
      </w:pPr>
      <w:r>
        <w:rPr>
          <w:rFonts w:ascii="Calibri" w:cs="Calibri" w:eastAsia="Calibri" w:hAnsi="Calibri"/>
          <w:sz w:val="16"/>
          <w:szCs w:val="16"/>
        </w:rPr>
        <w:t xml:space="preserve">Negative: Over-fetching possible; mitigated by careful endpoint design and future BFF if needed.</w:t>
      </w:r>
    </w:p>
    <w:p>
      <w:pPr>
        <w:pStyle w:val="Heading1"/>
        <w:spacing w:after="140" w:before="280"/>
      </w:pPr>
      <w:r>
        <w:rPr>
          <w:rFonts w:ascii="Calibri" w:cs="Calibri" w:eastAsia="Calibri" w:hAnsi="Calibri"/>
          <w:b/>
          <w:bCs/>
          <w:color w:val="1B4F72"/>
          <w:sz w:val="24"/>
          <w:szCs w:val="24"/>
        </w:rPr>
        <w:t xml:space="preserve">10. ADR-009: Message Broker &amp; Async Processing</w:t>
      </w:r>
    </w:p>
    <w:p>
      <w:pPr>
        <w:pStyle w:val="Heading2"/>
        <w:spacing w:after="90" w:before="200"/>
      </w:pPr>
      <w:r>
        <w:rPr>
          <w:rFonts w:ascii="Calibri" w:cs="Calibri" w:eastAsia="Calibri" w:hAnsi="Calibri"/>
          <w:b/>
          <w:bCs/>
          <w:color w:val="2874A6"/>
          <w:sz w:val="18"/>
          <w:szCs w:val="18"/>
        </w:rPr>
        <w:t xml:space="preserve">Status</w:t>
      </w:r>
    </w:p>
    <w:p>
      <w:pPr>
        <w:spacing w:after="80"/>
      </w:pPr>
      <w:r>
        <w:rPr>
          <w:rFonts w:ascii="Calibri" w:cs="Calibri" w:eastAsia="Calibri" w:hAnsi="Calibri"/>
          <w:sz w:val="16"/>
          <w:szCs w:val="16"/>
        </w:rPr>
        <w:t xml:space="preserve">Accepted — August 2026</w:t>
      </w:r>
    </w:p>
    <w:p>
      <w:pPr>
        <w:pStyle w:val="Heading2"/>
        <w:spacing w:after="90" w:before="200"/>
      </w:pPr>
      <w:r>
        <w:rPr>
          <w:rFonts w:ascii="Calibri" w:cs="Calibri" w:eastAsia="Calibri" w:hAnsi="Calibri"/>
          <w:b/>
          <w:bCs/>
          <w:color w:val="2874A6"/>
          <w:sz w:val="18"/>
          <w:szCs w:val="18"/>
        </w:rPr>
        <w:t xml:space="preserve">Context</w:t>
      </w:r>
    </w:p>
    <w:p>
      <w:pPr>
        <w:spacing w:after="80"/>
      </w:pPr>
      <w:r>
        <w:rPr>
          <w:rFonts w:ascii="Calibri" w:cs="Calibri" w:eastAsia="Calibri" w:hAnsi="Calibri"/>
          <w:sz w:val="16"/>
          <w:szCs w:val="16"/>
        </w:rPr>
        <w:t xml:space="preserve">Need reliable async processing for notifications, analytics events, media pipeline triggers, and decoupling of services.</w:t>
      </w:r>
    </w:p>
    <w:p>
      <w:pPr>
        <w:pStyle w:val="Heading2"/>
        <w:spacing w:after="90" w:before="200"/>
      </w:pPr>
      <w:r>
        <w:rPr>
          <w:rFonts w:ascii="Calibri" w:cs="Calibri" w:eastAsia="Calibri" w:hAnsi="Calibri"/>
          <w:b/>
          <w:bCs/>
          <w:color w:val="2874A6"/>
          <w:sz w:val="18"/>
          <w:szCs w:val="18"/>
        </w:rPr>
        <w:t xml:space="preserve">Decision</w:t>
      </w:r>
    </w:p>
    <w:p>
      <w:pPr>
        <w:spacing w:after="80"/>
      </w:pPr>
      <w:r>
        <w:rPr>
          <w:rFonts w:ascii="Calibri" w:cs="Calibri" w:eastAsia="Calibri" w:hAnsi="Calibri"/>
          <w:sz w:val="16"/>
          <w:szCs w:val="16"/>
        </w:rPr>
        <w:t xml:space="preserve">Use Apache Kafka (or NIC-supported managed equivalent) as the primary event/streaming backbone. Use Redis for lightweight queues and caching where durability requirements are lower.</w:t>
      </w:r>
    </w:p>
    <w:p>
      <w:pPr>
        <w:pStyle w:val="Heading2"/>
        <w:spacing w:after="90" w:before="200"/>
      </w:pPr>
      <w:r>
        <w:rPr>
          <w:rFonts w:ascii="Calibri" w:cs="Calibri" w:eastAsia="Calibri" w:hAnsi="Calibri"/>
          <w:b/>
          <w:bCs/>
          <w:color w:val="2874A6"/>
          <w:sz w:val="18"/>
          <w:szCs w:val="18"/>
        </w:rPr>
        <w:t xml:space="preserve">Options Considered</w:t>
      </w:r>
    </w:p>
    <w:p>
      <w:pPr>
        <w:pStyle w:val="ListParagraph"/>
        <w:numPr>
          <w:ilvl w:val="0"/>
          <w:numId w:val="2"/>
        </w:numPr>
        <w:spacing w:after="40"/>
      </w:pPr>
      <w:r>
        <w:rPr>
          <w:rFonts w:ascii="Calibri" w:cs="Calibri" w:eastAsia="Calibri" w:hAnsi="Calibri"/>
          <w:sz w:val="15"/>
          <w:szCs w:val="15"/>
        </w:rPr>
        <w:t xml:space="preserve">Kafka (Selected)</w:t>
      </w:r>
    </w:p>
    <w:p>
      <w:pPr>
        <w:pStyle w:val="ListParagraph"/>
        <w:numPr>
          <w:ilvl w:val="0"/>
          <w:numId w:val="2"/>
        </w:numPr>
        <w:spacing w:after="40"/>
      </w:pPr>
      <w:r>
        <w:rPr>
          <w:rFonts w:ascii="Calibri" w:cs="Calibri" w:eastAsia="Calibri" w:hAnsi="Calibri"/>
          <w:sz w:val="15"/>
          <w:szCs w:val="15"/>
        </w:rPr>
        <w:t xml:space="preserve">RabbitMQ</w:t>
      </w:r>
    </w:p>
    <w:p>
      <w:pPr>
        <w:pStyle w:val="ListParagraph"/>
        <w:numPr>
          <w:ilvl w:val="0"/>
          <w:numId w:val="2"/>
        </w:numPr>
        <w:spacing w:after="40"/>
      </w:pPr>
      <w:r>
        <w:rPr>
          <w:rFonts w:ascii="Calibri" w:cs="Calibri" w:eastAsia="Calibri" w:hAnsi="Calibri"/>
          <w:sz w:val="15"/>
          <w:szCs w:val="15"/>
        </w:rPr>
        <w:t xml:space="preserve">Cloud-native queues only</w:t>
      </w:r>
    </w:p>
    <w:p>
      <w:pPr>
        <w:pStyle w:val="Heading2"/>
        <w:spacing w:after="90" w:before="200"/>
      </w:pPr>
      <w:r>
        <w:rPr>
          <w:rFonts w:ascii="Calibri" w:cs="Calibri" w:eastAsia="Calibri" w:hAnsi="Calibri"/>
          <w:b/>
          <w:bCs/>
          <w:color w:val="2874A6"/>
          <w:sz w:val="18"/>
          <w:szCs w:val="18"/>
        </w:rPr>
        <w:t xml:space="preserve">Consequences</w:t>
      </w:r>
    </w:p>
    <w:p>
      <w:pPr>
        <w:spacing w:after="80"/>
      </w:pPr>
      <w:r>
        <w:rPr>
          <w:rFonts w:ascii="Calibri" w:cs="Calibri" w:eastAsia="Calibri" w:hAnsi="Calibri"/>
          <w:sz w:val="16"/>
          <w:szCs w:val="16"/>
        </w:rPr>
        <w:t xml:space="preserve">Positive: High throughput, durable logs, replay capability, strong ecosystem.</w:t>
      </w:r>
    </w:p>
    <w:p>
      <w:pPr>
        <w:spacing w:after="80"/>
      </w:pPr>
      <w:r>
        <w:rPr>
          <w:rFonts w:ascii="Calibri" w:cs="Calibri" w:eastAsia="Calibri" w:hAnsi="Calibri"/>
          <w:sz w:val="16"/>
          <w:szCs w:val="16"/>
        </w:rPr>
        <w:t xml:space="preserve">Negative: Operational complexity; requires good monitoring of consumer lag.</w:t>
      </w:r>
    </w:p>
    <w:p>
      <w:pPr>
        <w:pStyle w:val="Heading1"/>
        <w:spacing w:after="140" w:before="280"/>
      </w:pPr>
      <w:r>
        <w:rPr>
          <w:rFonts w:ascii="Calibri" w:cs="Calibri" w:eastAsia="Calibri" w:hAnsi="Calibri"/>
          <w:b/>
          <w:bCs/>
          <w:color w:val="1B4F72"/>
          <w:sz w:val="24"/>
          <w:szCs w:val="24"/>
        </w:rPr>
        <w:t xml:space="preserve">11. ADR-010: Frontend Web Technology</w:t>
      </w:r>
    </w:p>
    <w:p>
      <w:pPr>
        <w:pStyle w:val="Heading2"/>
        <w:spacing w:after="90" w:before="200"/>
      </w:pPr>
      <w:r>
        <w:rPr>
          <w:rFonts w:ascii="Calibri" w:cs="Calibri" w:eastAsia="Calibri" w:hAnsi="Calibri"/>
          <w:b/>
          <w:bCs/>
          <w:color w:val="2874A6"/>
          <w:sz w:val="18"/>
          <w:szCs w:val="18"/>
        </w:rPr>
        <w:t xml:space="preserve">Status</w:t>
      </w:r>
    </w:p>
    <w:p>
      <w:pPr>
        <w:spacing w:after="80"/>
      </w:pPr>
      <w:r>
        <w:rPr>
          <w:rFonts w:ascii="Calibri" w:cs="Calibri" w:eastAsia="Calibri" w:hAnsi="Calibri"/>
          <w:sz w:val="16"/>
          <w:szCs w:val="16"/>
        </w:rPr>
        <w:t xml:space="preserve">Accepted — August 2026</w:t>
      </w:r>
    </w:p>
    <w:p>
      <w:pPr>
        <w:pStyle w:val="Heading2"/>
        <w:spacing w:after="90" w:before="200"/>
      </w:pPr>
      <w:r>
        <w:rPr>
          <w:rFonts w:ascii="Calibri" w:cs="Calibri" w:eastAsia="Calibri" w:hAnsi="Calibri"/>
          <w:b/>
          <w:bCs/>
          <w:color w:val="2874A6"/>
          <w:sz w:val="18"/>
          <w:szCs w:val="18"/>
        </w:rPr>
        <w:t xml:space="preserve">Context</w:t>
      </w:r>
    </w:p>
    <w:p>
      <w:pPr>
        <w:spacing w:after="80"/>
      </w:pPr>
      <w:r>
        <w:rPr>
          <w:rFonts w:ascii="Calibri" w:cs="Calibri" w:eastAsia="Calibri" w:hAnsi="Calibri"/>
          <w:sz w:val="16"/>
          <w:szCs w:val="16"/>
        </w:rPr>
        <w:t xml:space="preserve">Need a modern, SEO-friendly, performant web application for students (especially those without smartphones) and for Admin / Ministry dashboards.</w:t>
      </w:r>
    </w:p>
    <w:p>
      <w:pPr>
        <w:pStyle w:val="Heading2"/>
        <w:spacing w:after="90" w:before="200"/>
      </w:pPr>
      <w:r>
        <w:rPr>
          <w:rFonts w:ascii="Calibri" w:cs="Calibri" w:eastAsia="Calibri" w:hAnsi="Calibri"/>
          <w:b/>
          <w:bCs/>
          <w:color w:val="2874A6"/>
          <w:sz w:val="18"/>
          <w:szCs w:val="18"/>
        </w:rPr>
        <w:t xml:space="preserve">Decision</w:t>
      </w:r>
    </w:p>
    <w:p>
      <w:pPr>
        <w:spacing w:after="80"/>
      </w:pPr>
      <w:r>
        <w:rPr>
          <w:rFonts w:ascii="Calibri" w:cs="Calibri" w:eastAsia="Calibri" w:hAnsi="Calibri"/>
          <w:sz w:val="16"/>
          <w:szCs w:val="16"/>
        </w:rPr>
        <w:t xml:space="preserve">Use Next.js (React) for the web application and admin portals.</w:t>
      </w:r>
    </w:p>
    <w:p>
      <w:pPr>
        <w:pStyle w:val="Heading2"/>
        <w:spacing w:after="90" w:before="200"/>
      </w:pPr>
      <w:r>
        <w:rPr>
          <w:rFonts w:ascii="Calibri" w:cs="Calibri" w:eastAsia="Calibri" w:hAnsi="Calibri"/>
          <w:b/>
          <w:bCs/>
          <w:color w:val="2874A6"/>
          <w:sz w:val="18"/>
          <w:szCs w:val="18"/>
        </w:rPr>
        <w:t xml:space="preserve">Options Considered</w:t>
      </w:r>
    </w:p>
    <w:p>
      <w:pPr>
        <w:pStyle w:val="ListParagraph"/>
        <w:numPr>
          <w:ilvl w:val="0"/>
          <w:numId w:val="2"/>
        </w:numPr>
        <w:spacing w:after="40"/>
      </w:pPr>
      <w:r>
        <w:rPr>
          <w:rFonts w:ascii="Calibri" w:cs="Calibri" w:eastAsia="Calibri" w:hAnsi="Calibri"/>
          <w:sz w:val="15"/>
          <w:szCs w:val="15"/>
        </w:rPr>
        <w:t xml:space="preserve">Next.js / React (Selected)</w:t>
      </w:r>
    </w:p>
    <w:p>
      <w:pPr>
        <w:pStyle w:val="ListParagraph"/>
        <w:numPr>
          <w:ilvl w:val="0"/>
          <w:numId w:val="2"/>
        </w:numPr>
        <w:spacing w:after="40"/>
      </w:pPr>
      <w:r>
        <w:rPr>
          <w:rFonts w:ascii="Calibri" w:cs="Calibri" w:eastAsia="Calibri" w:hAnsi="Calibri"/>
          <w:sz w:val="15"/>
          <w:szCs w:val="15"/>
        </w:rPr>
        <w:t xml:space="preserve">Angular</w:t>
      </w:r>
    </w:p>
    <w:p>
      <w:pPr>
        <w:pStyle w:val="ListParagraph"/>
        <w:numPr>
          <w:ilvl w:val="0"/>
          <w:numId w:val="2"/>
        </w:numPr>
        <w:spacing w:after="40"/>
      </w:pPr>
      <w:r>
        <w:rPr>
          <w:rFonts w:ascii="Calibri" w:cs="Calibri" w:eastAsia="Calibri" w:hAnsi="Calibri"/>
          <w:sz w:val="15"/>
          <w:szCs w:val="15"/>
        </w:rPr>
        <w:t xml:space="preserve">Vue / Nuxt</w:t>
      </w:r>
    </w:p>
    <w:p>
      <w:pPr>
        <w:pStyle w:val="ListParagraph"/>
        <w:numPr>
          <w:ilvl w:val="0"/>
          <w:numId w:val="2"/>
        </w:numPr>
        <w:spacing w:after="40"/>
      </w:pPr>
      <w:r>
        <w:rPr>
          <w:rFonts w:ascii="Calibri" w:cs="Calibri" w:eastAsia="Calibri" w:hAnsi="Calibri"/>
          <w:sz w:val="15"/>
          <w:szCs w:val="15"/>
        </w:rPr>
        <w:t xml:space="preserve">Server-rendered traditional stack</w:t>
      </w:r>
    </w:p>
    <w:p>
      <w:pPr>
        <w:pStyle w:val="Heading2"/>
        <w:spacing w:after="90" w:before="200"/>
      </w:pPr>
      <w:r>
        <w:rPr>
          <w:rFonts w:ascii="Calibri" w:cs="Calibri" w:eastAsia="Calibri" w:hAnsi="Calibri"/>
          <w:b/>
          <w:bCs/>
          <w:color w:val="2874A6"/>
          <w:sz w:val="18"/>
          <w:szCs w:val="18"/>
        </w:rPr>
        <w:t xml:space="preserve">Consequences</w:t>
      </w:r>
    </w:p>
    <w:p>
      <w:pPr>
        <w:spacing w:after="80"/>
      </w:pPr>
      <w:r>
        <w:rPr>
          <w:rFonts w:ascii="Calibri" w:cs="Calibri" w:eastAsia="Calibri" w:hAnsi="Calibri"/>
          <w:sz w:val="16"/>
          <w:szCs w:val="16"/>
        </w:rPr>
        <w:t xml:space="preserve">Positive: Strong ecosystem, SSR/SSG options, shared mental model with mobile (component thinking), good hiring pool.</w:t>
      </w:r>
    </w:p>
    <w:p>
      <w:pPr>
        <w:spacing w:after="80"/>
      </w:pPr>
      <w:r>
        <w:rPr>
          <w:rFonts w:ascii="Calibri" w:cs="Calibri" w:eastAsia="Calibri" w:hAnsi="Calibri"/>
          <w:sz w:val="16"/>
          <w:szCs w:val="16"/>
        </w:rPr>
        <w:t xml:space="preserve">Negative: Requires discipline around bundle size and performance on low-end devices/browsers.</w:t>
      </w:r>
    </w:p>
    <w:p>
      <w:pPr>
        <w:pStyle w:val="Heading1"/>
        <w:spacing w:after="140" w:before="280"/>
      </w:pPr>
      <w:r>
        <w:rPr>
          <w:rFonts w:ascii="Calibri" w:cs="Calibri" w:eastAsia="Calibri" w:hAnsi="Calibri"/>
          <w:b/>
          <w:bCs/>
          <w:color w:val="1B4F72"/>
          <w:sz w:val="24"/>
          <w:szCs w:val="24"/>
        </w:rPr>
        <w:t xml:space="preserve">12. ADR INDEX</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1800"/>
        <w:gridCol w:w="1800"/>
      </w:tblGrid>
      <w:tr>
        <w:tc>
          <w:tcPr>
            <w:tcW w:type="dxa" w:w="1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ADR</w:t>
            </w:r>
          </w:p>
        </w:tc>
        <w:tc>
          <w:tcPr>
            <w:tcW w:type="dxa" w:w="52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Title</w:t>
            </w:r>
          </w:p>
        </w:tc>
        <w:tc>
          <w:tcPr>
            <w:tcW w:type="dxa" w:w="1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Status</w:t>
            </w:r>
          </w:p>
        </w:tc>
        <w:tc>
          <w:tcPr>
            <w:tcW w:type="dxa" w:w="1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Date</w:t>
            </w:r>
          </w:p>
        </w:tc>
      </w:tr>
      <w:tr>
        <w:tc>
          <w:tcPr>
            <w:tcW w:type="dxa" w:w="1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ADR-001</w:t>
            </w:r>
          </w:p>
        </w:tc>
        <w:tc>
          <w:tcPr>
            <w:tcW w:type="dxa" w:w="5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Backend Primary Language &amp; Framework</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Accepted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Aug 2026</w:t>
            </w:r>
          </w:p>
        </w:tc>
      </w:tr>
      <w:tr>
        <w:tc>
          <w:tcPr>
            <w:tcW w:type="dxa" w:w="1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ADR-002</w:t>
            </w:r>
          </w:p>
        </w:tc>
        <w:tc>
          <w:tcPr>
            <w:tcW w:type="dxa" w:w="5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Mobile Client Technology (Flutter)</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Accepted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Aug 2026</w:t>
            </w:r>
          </w:p>
        </w:tc>
      </w:tr>
      <w:tr>
        <w:tc>
          <w:tcPr>
            <w:tcW w:type="dxa" w:w="1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ADR-003</w:t>
            </w:r>
          </w:p>
        </w:tc>
        <w:tc>
          <w:tcPr>
            <w:tcW w:type="dxa" w:w="5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Primary Database &amp; Data Stores</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Accepted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Aug 2026</w:t>
            </w:r>
          </w:p>
        </w:tc>
      </w:tr>
      <w:tr>
        <w:tc>
          <w:tcPr>
            <w:tcW w:type="dxa" w:w="1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ADR-004</w:t>
            </w:r>
          </w:p>
        </w:tc>
        <w:tc>
          <w:tcPr>
            <w:tcW w:type="dxa" w:w="5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Hosting &amp; Data Residency (NIC MeghRaj)</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Accepted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Aug 2026</w:t>
            </w:r>
          </w:p>
        </w:tc>
      </w:tr>
      <w:tr>
        <w:tc>
          <w:tcPr>
            <w:tcW w:type="dxa" w:w="1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ADR-005</w:t>
            </w:r>
          </w:p>
        </w:tc>
        <w:tc>
          <w:tcPr>
            <w:tcW w:type="dxa" w:w="5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Authentication Approach</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Accepted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Aug 2026</w:t>
            </w:r>
          </w:p>
        </w:tc>
      </w:tr>
      <w:tr>
        <w:tc>
          <w:tcPr>
            <w:tcW w:type="dxa" w:w="1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ADR-006</w:t>
            </w:r>
          </w:p>
        </w:tc>
        <w:tc>
          <w:tcPr>
            <w:tcW w:type="dxa" w:w="5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Live Class Architecture (Hybrid)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Accepted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Aug 2026</w:t>
            </w:r>
          </w:p>
        </w:tc>
      </w:tr>
      <w:tr>
        <w:tc>
          <w:tcPr>
            <w:tcW w:type="dxa" w:w="1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ADR-007</w:t>
            </w:r>
          </w:p>
        </w:tc>
        <w:tc>
          <w:tcPr>
            <w:tcW w:type="dxa" w:w="5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AI Serving Strategy (Self-hosted)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Accepted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Aug 2026</w:t>
            </w:r>
          </w:p>
        </w:tc>
      </w:tr>
      <w:tr>
        <w:tc>
          <w:tcPr>
            <w:tcW w:type="dxa" w:w="1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ADR-008</w:t>
            </w:r>
          </w:p>
        </w:tc>
        <w:tc>
          <w:tcPr>
            <w:tcW w:type="dxa" w:w="5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API Style &amp; Gateway</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Accepted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Aug 2026</w:t>
            </w:r>
          </w:p>
        </w:tc>
      </w:tr>
      <w:tr>
        <w:tc>
          <w:tcPr>
            <w:tcW w:type="dxa" w:w="1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ADR-009</w:t>
            </w:r>
          </w:p>
        </w:tc>
        <w:tc>
          <w:tcPr>
            <w:tcW w:type="dxa" w:w="5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Message Broker &amp; Async Processing</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Accepted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Aug 2026</w:t>
            </w:r>
          </w:p>
        </w:tc>
      </w:tr>
      <w:tr>
        <w:tc>
          <w:tcPr>
            <w:tcW w:type="dxa" w:w="1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ADR-010</w:t>
            </w:r>
          </w:p>
        </w:tc>
        <w:tc>
          <w:tcPr>
            <w:tcW w:type="dxa" w:w="5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Frontend Web Technology (Next.js)</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Accepted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Aug 2026</w:t>
            </w:r>
          </w:p>
        </w:tc>
      </w:tr>
    </w:tbl>
    <w:p>
      <w:pPr>
        <w:pStyle w:val="Heading1"/>
        <w:spacing w:after="140" w:before="280"/>
      </w:pPr>
      <w:r>
        <w:rPr>
          <w:rFonts w:ascii="Calibri" w:cs="Calibri" w:eastAsia="Calibri" w:hAnsi="Calibri"/>
          <w:b/>
          <w:bCs/>
          <w:color w:val="1B4F72"/>
          <w:sz w:val="24"/>
          <w:szCs w:val="24"/>
        </w:rPr>
        <w:t xml:space="preserve">13. FUTURE ADRs (EXPECTED)</w:t>
      </w:r>
    </w:p>
    <w:p>
      <w:pPr>
        <w:pStyle w:val="ListParagraph"/>
        <w:numPr>
          <w:ilvl w:val="0"/>
          <w:numId w:val="2"/>
        </w:numPr>
        <w:spacing w:after="40"/>
      </w:pPr>
      <w:r>
        <w:rPr>
          <w:rFonts w:ascii="Calibri" w:cs="Calibri" w:eastAsia="Calibri" w:hAnsi="Calibri"/>
          <w:sz w:val="15"/>
          <w:szCs w:val="15"/>
        </w:rPr>
        <w:t xml:space="preserve">ADR-011: Feature Flag system selection</w:t>
      </w:r>
    </w:p>
    <w:p>
      <w:pPr>
        <w:pStyle w:val="ListParagraph"/>
        <w:numPr>
          <w:ilvl w:val="0"/>
          <w:numId w:val="2"/>
        </w:numPr>
        <w:spacing w:after="40"/>
      </w:pPr>
      <w:r>
        <w:rPr>
          <w:rFonts w:ascii="Calibri" w:cs="Calibri" w:eastAsia="Calibri" w:hAnsi="Calibri"/>
          <w:sz w:val="15"/>
          <w:szCs w:val="15"/>
        </w:rPr>
        <w:t xml:space="preserve">ADR-012: Exact LiveKit vs Agora (or other) choice</w:t>
      </w:r>
    </w:p>
    <w:p>
      <w:pPr>
        <w:pStyle w:val="ListParagraph"/>
        <w:numPr>
          <w:ilvl w:val="0"/>
          <w:numId w:val="2"/>
        </w:numPr>
        <w:spacing w:after="40"/>
      </w:pPr>
      <w:r>
        <w:rPr>
          <w:rFonts w:ascii="Calibri" w:cs="Calibri" w:eastAsia="Calibri" w:hAnsi="Calibri"/>
          <w:sz w:val="15"/>
          <w:szCs w:val="15"/>
        </w:rPr>
        <w:t xml:space="preserve">ADR-013: Object storage &amp; CDN configuration on NIC</w:t>
      </w:r>
    </w:p>
    <w:p>
      <w:pPr>
        <w:pStyle w:val="ListParagraph"/>
        <w:numPr>
          <w:ilvl w:val="0"/>
          <w:numId w:val="2"/>
        </w:numPr>
        <w:spacing w:after="40"/>
      </w:pPr>
      <w:r>
        <w:rPr>
          <w:rFonts w:ascii="Calibri" w:cs="Calibri" w:eastAsia="Calibri" w:hAnsi="Calibri"/>
          <w:sz w:val="15"/>
          <w:szCs w:val="15"/>
        </w:rPr>
        <w:t xml:space="preserve">ADR-014: Observability backend finalisation (Loki vs OpenSearch)</w:t>
      </w:r>
    </w:p>
    <w:p>
      <w:pPr>
        <w:pStyle w:val="ListParagraph"/>
        <w:numPr>
          <w:ilvl w:val="0"/>
          <w:numId w:val="2"/>
        </w:numPr>
        <w:spacing w:after="40"/>
      </w:pPr>
      <w:r>
        <w:rPr>
          <w:rFonts w:ascii="Calibri" w:cs="Calibri" w:eastAsia="Calibri" w:hAnsi="Calibri"/>
          <w:sz w:val="15"/>
          <w:szCs w:val="15"/>
        </w:rPr>
        <w:t xml:space="preserve">ADR-015: Secret management solution</w:t>
      </w:r>
    </w:p>
    <w:p>
      <w:pPr>
        <w:pStyle w:val="ListParagraph"/>
        <w:numPr>
          <w:ilvl w:val="0"/>
          <w:numId w:val="2"/>
        </w:numPr>
        <w:spacing w:after="40"/>
      </w:pPr>
      <w:r>
        <w:rPr>
          <w:rFonts w:ascii="Calibri" w:cs="Calibri" w:eastAsia="Calibri" w:hAnsi="Calibri"/>
          <w:sz w:val="15"/>
          <w:szCs w:val="15"/>
        </w:rPr>
        <w:t xml:space="preserve">ADR-016: Multi-tenancy / state-level isolation model (if required)</w:t>
      </w:r>
    </w:p>
    <w:p>
      <w:pPr>
        <w:pStyle w:val="ListParagraph"/>
        <w:numPr>
          <w:ilvl w:val="0"/>
          <w:numId w:val="2"/>
        </w:numPr>
        <w:spacing w:after="40"/>
      </w:pPr>
      <w:r>
        <w:rPr>
          <w:rFonts w:ascii="Calibri" w:cs="Calibri" w:eastAsia="Calibri" w:hAnsi="Calibri"/>
          <w:sz w:val="15"/>
          <w:szCs w:val="15"/>
        </w:rPr>
        <w:t xml:space="preserve">ADR-017: Detailed partitioning strategy for attempts/answers tables</w:t>
      </w:r>
    </w:p>
    <w:p>
      <w:pPr>
        <w:spacing w:after="160"/>
      </w:pPr>
    </w:p>
    <w:p>
      <w:pPr>
        <w:jc w:val="center"/>
      </w:pPr>
      <w:r>
        <w:rPr>
          <w:rFonts w:ascii="Calibri" w:cs="Calibri" w:eastAsia="Calibri" w:hAnsi="Calibri"/>
          <w:i/>
          <w:iCs/>
          <w:color w:val="666666"/>
          <w:sz w:val="14"/>
          <w:szCs w:val="14"/>
        </w:rPr>
        <w:t xml:space="preserve">— End of Architecture Decision Records (Baseline) —</w:t>
      </w:r>
    </w:p>
    <w:p>
      <w:pPr>
        <w:spacing w:before="40"/>
        <w:jc w:val="center"/>
      </w:pPr>
      <w:r>
        <w:rPr>
          <w:rFonts w:ascii="Calibri" w:cs="Calibri" w:eastAsia="Calibri" w:hAnsi="Calibri"/>
          <w:color w:val="888888"/>
          <w:sz w:val="12"/>
          <w:szCs w:val="12"/>
        </w:rPr>
        <w:t xml:space="preserve">Pariksha Mitra ADRs v1.0  |  August 2026  |  Living Document  |  Confidential</w:t>
      </w:r>
    </w:p>
    <w:sectPr>
      <w:headerReference w:type="default" r:id="rId7"/>
      <w:footerReference w:type="default" r:id="rId8"/>
      <w:pgSz w:w="12240" w:h="15840" w:orient="portrait"/>
      <w:pgMar w:top="1008" w:right="860" w:bottom="1008"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4"/>
      </w:pBdr>
      <w:spacing w:before="50"/>
    </w:pPr>
    <w:r>
      <w:rPr>
        <w:rFonts w:ascii="Calibri" w:cs="Calibri" w:eastAsia="Calibri" w:hAnsi="Calibri"/>
        <w:color w:val="666666"/>
        <w:sz w:val="11"/>
        <w:szCs w:val="11"/>
      </w:rPr>
      <w:t xml:space="preserve">Ministry of Education, Government of India  |  Internal Use Only</w:t>
    </w:r>
    <w:r>
      <w:rPr>
        <w:sz w:val="11"/>
        <w:szCs w:val="11"/>
      </w:rPr>
      <w:t xml:space="preserve">                                              </w:t>
    </w:r>
    <w:r>
      <w:rPr>
        <w:rFonts w:ascii="Calibri" w:cs="Calibri" w:eastAsia="Calibri" w:hAnsi="Calibri"/>
        <w:color w:val="666666"/>
        <w:sz w:val="11"/>
        <w:szCs w:val="11"/>
      </w:rPr>
      <w:t xml:space="preserve">Page </w:t>
    </w:r>
    <w:r>
      <w:rPr>
        <w:rFonts w:ascii="Calibri" w:cs="Calibri" w:eastAsia="Calibri" w:hAnsi="Calibri"/>
        <w:color w:val="666666"/>
        <w:sz w:val="11"/>
        <w:szCs w:val="11"/>
      </w:rPr>
      <w:fldChar w:fldCharType="begin"/>
      <w:instrText xml:space="preserve">PAGE</w:instrText>
      <w:fldChar w:fldCharType="separate"/>
      <w:fldChar w:fldCharType="end"/>
    </w:r>
    <w:r>
      <w:rPr>
        <w:rFonts w:ascii="Calibri" w:cs="Calibri" w:eastAsia="Calibri" w:hAnsi="Calibri"/>
        <w:color w:val="666666"/>
        <w:sz w:val="11"/>
        <w:szCs w:val="11"/>
      </w:rPr>
      <w:t xml:space="preserve"> of </w:t>
    </w:r>
    <w:r>
      <w:rPr>
        <w:rFonts w:ascii="Calibri" w:cs="Calibri" w:eastAsia="Calibri" w:hAnsi="Calibri"/>
        <w:color w:val="666666"/>
        <w:sz w:val="11"/>
        <w:szCs w:val="1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4"/>
      </w:pBdr>
      <w:spacing w:after="70"/>
    </w:pPr>
    <w:r>
      <w:rPr>
        <w:rFonts w:ascii="Calibri" w:cs="Calibri" w:eastAsia="Calibri" w:hAnsi="Calibri"/>
        <w:b/>
        <w:bCs/>
        <w:color w:val="1B4F72"/>
        <w:sz w:val="12"/>
        <w:szCs w:val="12"/>
      </w:rPr>
      <w:t xml:space="preserve">PARIKSHA MITRA  |  Architecture Decision Records (ADRs)</w:t>
    </w:r>
    <w:r>
      <w:rPr>
        <w:sz w:val="12"/>
        <w:szCs w:val="12"/>
      </w:rPr>
      <w:t xml:space="preserve">                                              </w:t>
    </w:r>
    <w:r>
      <w:rPr>
        <w:rFonts w:ascii="Calibri" w:cs="Calibri" w:eastAsia="Calibri" w:hAnsi="Calibri"/>
        <w:i/>
        <w:iCs/>
        <w:color w:val="C0392B"/>
        <w:sz w:val="12"/>
        <w:szCs w:val="12"/>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B4F72"/>
      <w:sz w:val="24"/>
      <w:szCs w:val="24"/>
    </w:rPr>
  </w:style>
  <w:style w:type="paragraph" w:styleId="Heading2">
    <w:name w:val="Heading 2"/>
    <w:basedOn w:val="Normal"/>
    <w:next w:val="Normal"/>
    <w:qFormat/>
    <w:pPr>
      <w:spacing w:after="90" w:before="200"/>
      <w:outlineLvl w:val="1"/>
    </w:pPr>
    <w:rPr>
      <w:rFonts w:ascii="Calibri" w:cs="Calibri" w:eastAsia="Calibri" w:hAnsi="Calibri"/>
      <w:b/>
      <w:bCs/>
      <w:color w:val="2874A6"/>
      <w:sz w:val="18"/>
      <w:szCs w:val="18"/>
    </w:rPr>
  </w:style>
  <w:style w:type="paragraph" w:styleId="Heading3">
    <w:name w:val="Heading 3"/>
    <w:basedOn w:val="Normal"/>
    <w:next w:val="Normal"/>
    <w:qFormat/>
    <w:pPr>
      <w:spacing w:after="60" w:before="140"/>
      <w:outlineLvl w:val="2"/>
    </w:pPr>
    <w:rPr>
      <w:rFonts w:ascii="Calibri" w:cs="Calibri" w:eastAsia="Calibri" w:hAnsi="Calibri"/>
      <w:b/>
      <w:bCs/>
      <w:color w:val="1A5276"/>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2026-08-19T06:40:10.558Z</dcterms:created>
  <dcterms:modified xsi:type="dcterms:W3CDTF">2026-08-19T06:40:10.558Z</dcterms:modified>
</cp:coreProperties>
</file>

<file path=docProps/custom.xml><?xml version="1.0" encoding="utf-8"?>
<Properties xmlns="http://schemas.openxmlformats.org/officeDocument/2006/custom-properties" xmlns:vt="http://schemas.openxmlformats.org/officeDocument/2006/docPropsVTypes"/>
</file>